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N/>
        <w:bidi w:val="0"/>
        <w:adjustRightInd/>
        <w:snapToGrid/>
        <w:spacing w:line="360" w:lineRule="auto"/>
        <w:jc w:val="center"/>
        <w:textAlignment w:val="auto"/>
        <w:rPr>
          <w:rFonts w:ascii="方正小标宋简体" w:eastAsia="方正小标宋简体"/>
          <w:color w:val="FF0000"/>
          <w:w w:val="80"/>
          <w:sz w:val="92"/>
          <w:szCs w:val="92"/>
        </w:rPr>
      </w:pPr>
      <w:bookmarkStart w:id="0" w:name="_Toc286925399"/>
      <w:r>
        <w:rPr>
          <w:rFonts w:hint="eastAsia" w:ascii="方正小标宋简体" w:eastAsia="方正小标宋简体"/>
          <w:color w:val="FF0000"/>
          <w:w w:val="80"/>
          <w:sz w:val="92"/>
          <w:szCs w:val="92"/>
        </w:rPr>
        <w:t>温州职业技术学院文件</w:t>
      </w:r>
    </w:p>
    <w:p>
      <w:pPr>
        <w:keepNext w:val="0"/>
        <w:keepLines w:val="0"/>
        <w:pageBreakBefore w:val="0"/>
        <w:kinsoku/>
        <w:wordWrap/>
        <w:overflowPunct/>
        <w:topLinePunct w:val="0"/>
        <w:autoSpaceDN/>
        <w:bidi w:val="0"/>
        <w:adjustRightInd/>
        <w:snapToGrid/>
        <w:spacing w:line="360" w:lineRule="auto"/>
        <w:jc w:val="center"/>
        <w:textAlignment w:val="auto"/>
        <w:rPr>
          <w:rFonts w:ascii="黑体" w:hAnsi="黑体" w:eastAsia="黑体"/>
          <w:sz w:val="32"/>
          <w:szCs w:val="32"/>
        </w:rPr>
      </w:pPr>
      <w:r>
        <w:rPr>
          <w:rFonts w:hint="eastAsia" w:ascii="仿宋_GB2312" w:eastAsia="仿宋_GB2312"/>
          <w:sz w:val="32"/>
          <w:szCs w:val="32"/>
        </w:rPr>
        <w:t>温职院学〔</w:t>
      </w:r>
      <w:r>
        <w:rPr>
          <w:rFonts w:hint="eastAsia" w:ascii="仿宋_GB2312" w:eastAsia="仿宋_GB2312"/>
          <w:sz w:val="32"/>
          <w:szCs w:val="32"/>
          <w:lang w:val="en-US" w:eastAsia="zh-CN"/>
        </w:rPr>
        <w:t>2024</w:t>
      </w:r>
      <w:r>
        <w:rPr>
          <w:rFonts w:hint="eastAsia" w:ascii="仿宋_GB2312" w:eastAsia="仿宋_GB2312"/>
          <w:sz w:val="32"/>
          <w:szCs w:val="32"/>
        </w:rPr>
        <w:t>〕</w:t>
      </w:r>
      <w:r>
        <w:rPr>
          <w:rFonts w:hint="eastAsia" w:ascii="仿宋_GB2312" w:eastAsia="仿宋_GB2312"/>
          <w:sz w:val="32"/>
          <w:szCs w:val="32"/>
          <w:lang w:val="en-US" w:eastAsia="zh-CN"/>
        </w:rPr>
        <w:t xml:space="preserve">   </w:t>
      </w:r>
      <w:r>
        <w:rPr>
          <w:rFonts w:hint="eastAsia" w:ascii="仿宋_GB2312" w:eastAsia="仿宋_GB2312"/>
          <w:sz w:val="32"/>
          <w:szCs w:val="32"/>
        </w:rPr>
        <w:t>号</w:t>
      </w:r>
    </w:p>
    <w:p>
      <w:pPr>
        <w:keepNext w:val="0"/>
        <w:keepLines w:val="0"/>
        <w:pageBreakBefore w:val="0"/>
        <w:kinsoku/>
        <w:wordWrap/>
        <w:overflowPunct/>
        <w:topLinePunct w:val="0"/>
        <w:autoSpaceDN/>
        <w:bidi w:val="0"/>
        <w:adjustRightInd/>
        <w:snapToGrid/>
        <w:spacing w:line="360" w:lineRule="auto"/>
        <w:textAlignment w:val="auto"/>
        <w:rPr>
          <w:rFonts w:ascii="仿宋_GB2312" w:hAnsi="宋体" w:eastAsia="仿宋_GB2312" w:cs="宋体"/>
          <w:sz w:val="32"/>
          <w:szCs w:val="32"/>
        </w:rPr>
      </w:pPr>
      <w:r>
        <w:rPr>
          <w:rFonts w:ascii="方正小标宋简体" w:eastAsia="方正小标宋简体"/>
          <w:color w:val="FF0000"/>
          <w:sz w:val="30"/>
          <w:u w:val="thick"/>
        </w:rPr>
        <w:t xml:space="preserve">                                               </w:t>
      </w:r>
      <w:r>
        <w:rPr>
          <w:rFonts w:hint="eastAsia" w:ascii="方正小标宋简体" w:eastAsia="方正小标宋简体"/>
          <w:color w:val="FF0000"/>
          <w:sz w:val="30"/>
          <w:u w:val="thick"/>
        </w:rPr>
        <w:t>　　　　　　　</w:t>
      </w:r>
    </w:p>
    <w:p>
      <w:pPr>
        <w:keepNext w:val="0"/>
        <w:keepLines w:val="0"/>
        <w:pageBreakBefore w:val="0"/>
        <w:kinsoku/>
        <w:wordWrap/>
        <w:overflowPunct/>
        <w:topLinePunct w:val="0"/>
        <w:autoSpaceDN/>
        <w:bidi w:val="0"/>
        <w:adjustRightInd/>
        <w:snapToGrid/>
        <w:spacing w:line="360" w:lineRule="auto"/>
        <w:textAlignment w:val="auto"/>
        <w:rPr>
          <w:rFonts w:ascii="仿宋_GB2312" w:hAnsi="宋体" w:eastAsia="仿宋_GB2312" w:cs="宋体"/>
          <w:sz w:val="32"/>
          <w:szCs w:val="32"/>
        </w:rPr>
      </w:pPr>
    </w:p>
    <w:p>
      <w:pPr>
        <w:keepNext w:val="0"/>
        <w:keepLines w:val="0"/>
        <w:pageBreakBefore w:val="0"/>
        <w:kinsoku/>
        <w:wordWrap/>
        <w:overflowPunct/>
        <w:topLinePunct w:val="0"/>
        <w:autoSpaceDN/>
        <w:bidi w:val="0"/>
        <w:adjustRightInd/>
        <w:snapToGrid/>
        <w:spacing w:line="360" w:lineRule="auto"/>
        <w:jc w:val="center"/>
        <w:textAlignment w:val="auto"/>
        <w:rPr>
          <w:rFonts w:ascii="方正小标宋简体" w:hAnsi="宋体fal" w:eastAsia="方正小标宋简体"/>
          <w:bCs/>
          <w:sz w:val="44"/>
          <w:szCs w:val="44"/>
        </w:rPr>
      </w:pPr>
      <w:r>
        <w:rPr>
          <w:rFonts w:hint="eastAsia" w:ascii="方正小标宋简体" w:hAnsi="宋体fal" w:eastAsia="方正小标宋简体"/>
          <w:bCs/>
          <w:sz w:val="44"/>
          <w:szCs w:val="44"/>
        </w:rPr>
        <w:t>温州职业技术学院</w:t>
      </w:r>
    </w:p>
    <w:p>
      <w:pPr>
        <w:keepNext w:val="0"/>
        <w:keepLines w:val="0"/>
        <w:pageBreakBefore w:val="0"/>
        <w:kinsoku/>
        <w:wordWrap/>
        <w:overflowPunct/>
        <w:topLinePunct w:val="0"/>
        <w:autoSpaceDN/>
        <w:bidi w:val="0"/>
        <w:adjustRightInd/>
        <w:snapToGrid/>
        <w:spacing w:line="360" w:lineRule="auto"/>
        <w:jc w:val="center"/>
        <w:textAlignment w:val="auto"/>
        <w:rPr>
          <w:rFonts w:ascii="仿宋_GB2312" w:eastAsia="仿宋_GB2312"/>
          <w:b/>
          <w:color w:val="000000"/>
          <w:sz w:val="44"/>
          <w:szCs w:val="44"/>
          <w:highlight w:val="cyan"/>
        </w:rPr>
      </w:pPr>
      <w:r>
        <w:rPr>
          <w:rFonts w:hint="eastAsia" w:ascii="方正小标宋简体" w:hAnsi="宋体fal" w:eastAsia="方正小标宋简体"/>
          <w:bCs/>
          <w:sz w:val="44"/>
          <w:szCs w:val="44"/>
          <w:highlight w:val="cyan"/>
        </w:rPr>
        <w:t>学生竞赛管理办法</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为充分发挥大学生科技竞赛在技能人才培养中的作用，提升学生竞赛管理工作科学化、专业化、制度化水平，</w:t>
      </w:r>
      <w:r>
        <w:rPr>
          <w:rFonts w:hint="eastAsia" w:ascii="仿宋_GB2312" w:eastAsia="仿宋_GB2312"/>
          <w:sz w:val="32"/>
          <w:szCs w:val="32"/>
        </w:rPr>
        <w:t>推动各类竞赛活动的健康发展，激发学生学技术、练技能的积极性，提高教师竞赛指导水平，增强大学生创新精神、创造能力和团队合作意识</w:t>
      </w:r>
      <w:r>
        <w:rPr>
          <w:rFonts w:hint="eastAsia" w:ascii="仿宋_GB2312" w:eastAsia="仿宋_GB2312"/>
          <w:sz w:val="32"/>
          <w:szCs w:val="32"/>
          <w:lang w:eastAsia="zh-CN"/>
        </w:rPr>
        <w:t>，</w:t>
      </w:r>
      <w:r>
        <w:rPr>
          <w:rFonts w:hint="eastAsia" w:ascii="仿宋_GB2312" w:eastAsia="仿宋_GB2312"/>
          <w:sz w:val="32"/>
          <w:szCs w:val="32"/>
        </w:rPr>
        <w:t>提升大学生就业竞争力，</w:t>
      </w:r>
      <w:r>
        <w:rPr>
          <w:rFonts w:hint="eastAsia" w:ascii="仿宋_GB2312" w:eastAsia="仿宋_GB2312"/>
          <w:sz w:val="32"/>
          <w:szCs w:val="32"/>
          <w:lang w:val="en-US" w:eastAsia="zh-CN"/>
        </w:rPr>
        <w:t>助力教学创新，提高人才培养质量，</w:t>
      </w:r>
      <w:r>
        <w:rPr>
          <w:rFonts w:hint="eastAsia" w:ascii="仿宋_GB2312" w:eastAsia="仿宋_GB2312"/>
          <w:sz w:val="32"/>
          <w:szCs w:val="32"/>
        </w:rPr>
        <w:t>结合学</w:t>
      </w:r>
      <w:r>
        <w:rPr>
          <w:rFonts w:hint="eastAsia" w:ascii="仿宋_GB2312" w:eastAsia="仿宋_GB2312"/>
          <w:sz w:val="32"/>
          <w:szCs w:val="32"/>
          <w:lang w:val="en-US" w:eastAsia="zh-CN"/>
        </w:rPr>
        <w:t>校</w:t>
      </w:r>
      <w:r>
        <w:rPr>
          <w:rFonts w:hint="eastAsia" w:ascii="仿宋_GB2312" w:eastAsia="仿宋_GB2312"/>
          <w:sz w:val="32"/>
          <w:szCs w:val="32"/>
        </w:rPr>
        <w:t>实际，制定本办法。</w:t>
      </w:r>
    </w:p>
    <w:p>
      <w:pPr>
        <w:keepNext w:val="0"/>
        <w:keepLines w:val="0"/>
        <w:pageBreakBefore w:val="0"/>
        <w:kinsoku/>
        <w:wordWrap/>
        <w:overflowPunct/>
        <w:topLinePunct w:val="0"/>
        <w:autoSpaceDN/>
        <w:bidi w:val="0"/>
        <w:adjustRightInd/>
        <w:snapToGrid/>
        <w:spacing w:line="360" w:lineRule="auto"/>
        <w:jc w:val="center"/>
        <w:textAlignment w:val="auto"/>
        <w:rPr>
          <w:rFonts w:hint="eastAsia" w:ascii="黑体" w:hAnsi="黑体" w:eastAsia="黑体" w:cs="黑体fal"/>
          <w:color w:val="000000"/>
          <w:sz w:val="32"/>
          <w:szCs w:val="32"/>
        </w:rPr>
      </w:pPr>
      <w:r>
        <w:rPr>
          <w:rFonts w:hint="eastAsia" w:ascii="黑体" w:hAnsi="黑体" w:eastAsia="黑体" w:cs="黑体fal"/>
          <w:color w:val="000000"/>
          <w:sz w:val="32"/>
          <w:szCs w:val="32"/>
          <w:lang w:val="en-US" w:eastAsia="zh-CN"/>
        </w:rPr>
        <w:t xml:space="preserve">第一章 </w:t>
      </w:r>
      <w:r>
        <w:rPr>
          <w:rFonts w:hint="eastAsia" w:ascii="黑体" w:hAnsi="黑体" w:eastAsia="黑体" w:cs="黑体fal"/>
          <w:color w:val="000000"/>
          <w:sz w:val="32"/>
          <w:szCs w:val="32"/>
        </w:rPr>
        <w:t>总则</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ascii="仿宋_GB2312" w:hAnsi="仿宋" w:eastAsia="仿宋_GB2312" w:cs="仿宋"/>
          <w:color w:val="000000"/>
          <w:sz w:val="32"/>
          <w:szCs w:val="32"/>
        </w:rPr>
      </w:pPr>
      <w:r>
        <w:rPr>
          <w:rFonts w:hint="eastAsia" w:ascii="黑体" w:hAnsi="黑体" w:eastAsia="黑体" w:cs="黑体"/>
          <w:color w:val="000000"/>
          <w:sz w:val="32"/>
          <w:szCs w:val="32"/>
          <w:lang w:val="en-US" w:eastAsia="zh-CN"/>
        </w:rPr>
        <w:t>第一条</w:t>
      </w:r>
      <w:r>
        <w:rPr>
          <w:rFonts w:hint="eastAsia" w:ascii="仿宋_GB2312" w:hAnsi="仿宋" w:eastAsia="仿宋_GB2312" w:cs="仿宋"/>
          <w:color w:val="000000"/>
          <w:sz w:val="32"/>
          <w:szCs w:val="32"/>
          <w:lang w:val="en-US" w:eastAsia="zh-CN"/>
        </w:rPr>
        <w:t xml:space="preserve"> </w:t>
      </w:r>
      <w:r>
        <w:rPr>
          <w:rFonts w:hint="eastAsia" w:ascii="仿宋_GB2312" w:hAnsi="仿宋" w:eastAsia="仿宋_GB2312" w:cs="仿宋"/>
          <w:color w:val="000000"/>
          <w:sz w:val="32"/>
          <w:szCs w:val="32"/>
        </w:rPr>
        <w:t>大学生</w:t>
      </w:r>
      <w:r>
        <w:rPr>
          <w:rFonts w:hint="eastAsia" w:ascii="仿宋_GB2312" w:hAnsi="仿宋" w:eastAsia="仿宋_GB2312" w:cs="仿宋"/>
          <w:color w:val="000000"/>
          <w:sz w:val="32"/>
          <w:szCs w:val="32"/>
          <w:lang w:val="en-US" w:eastAsia="zh-CN"/>
        </w:rPr>
        <w:t>竞赛组织管理工作</w:t>
      </w:r>
      <w:r>
        <w:rPr>
          <w:rFonts w:hint="eastAsia" w:ascii="仿宋_GB2312" w:hAnsi="仿宋" w:eastAsia="仿宋_GB2312" w:cs="仿宋"/>
          <w:color w:val="000000"/>
          <w:sz w:val="32"/>
          <w:szCs w:val="32"/>
        </w:rPr>
        <w:t>应坚持公开、公平、公正原则，保证竞赛质量，为</w:t>
      </w:r>
      <w:r>
        <w:rPr>
          <w:rFonts w:hint="eastAsia" w:ascii="仿宋_GB2312" w:hAnsi="仿宋" w:eastAsia="仿宋_GB2312" w:cs="仿宋"/>
          <w:snapToGrid w:val="0"/>
          <w:color w:val="000000"/>
          <w:kern w:val="0"/>
          <w:sz w:val="32"/>
          <w:szCs w:val="32"/>
        </w:rPr>
        <w:t>参赛</w:t>
      </w:r>
      <w:r>
        <w:rPr>
          <w:rFonts w:hint="eastAsia" w:ascii="仿宋_GB2312" w:hAnsi="仿宋" w:eastAsia="仿宋_GB2312" w:cs="仿宋"/>
          <w:color w:val="000000"/>
          <w:sz w:val="32"/>
          <w:szCs w:val="32"/>
        </w:rPr>
        <w:t>选手发挥水平创造有利条件。</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ascii="仿宋_GB2312" w:hAnsi="仿宋" w:eastAsia="仿宋_GB2312" w:cs="仿宋"/>
          <w:color w:val="000000"/>
          <w:sz w:val="32"/>
          <w:szCs w:val="32"/>
        </w:rPr>
      </w:pPr>
      <w:r>
        <w:rPr>
          <w:rFonts w:hint="eastAsia" w:ascii="黑体" w:hAnsi="黑体" w:eastAsia="黑体" w:cs="黑体"/>
          <w:color w:val="000000"/>
          <w:sz w:val="32"/>
          <w:szCs w:val="32"/>
          <w:lang w:val="en-US" w:eastAsia="zh-CN"/>
        </w:rPr>
        <w:t>第二条</w:t>
      </w:r>
      <w:r>
        <w:rPr>
          <w:rFonts w:hint="eastAsia" w:ascii="仿宋_GB2312" w:hAnsi="仿宋" w:eastAsia="仿宋_GB2312" w:cs="仿宋"/>
          <w:color w:val="000000"/>
          <w:sz w:val="32"/>
          <w:szCs w:val="32"/>
          <w:lang w:val="en-US" w:eastAsia="zh-CN"/>
        </w:rPr>
        <w:t xml:space="preserve"> 学生</w:t>
      </w:r>
      <w:r>
        <w:rPr>
          <w:rFonts w:hint="eastAsia" w:ascii="仿宋_GB2312" w:hAnsi="仿宋" w:eastAsia="仿宋_GB2312" w:cs="仿宋"/>
          <w:color w:val="000000"/>
          <w:sz w:val="32"/>
          <w:szCs w:val="32"/>
        </w:rPr>
        <w:t>竞赛的</w:t>
      </w:r>
      <w:r>
        <w:rPr>
          <w:rFonts w:hint="eastAsia" w:ascii="仿宋_GB2312" w:hAnsi="仿宋" w:eastAsia="仿宋_GB2312" w:cs="仿宋"/>
          <w:snapToGrid w:val="0"/>
          <w:color w:val="000000"/>
          <w:kern w:val="0"/>
          <w:sz w:val="32"/>
          <w:szCs w:val="32"/>
        </w:rPr>
        <w:t>参赛对象为我</w:t>
      </w:r>
      <w:r>
        <w:rPr>
          <w:rFonts w:hint="eastAsia" w:ascii="仿宋_GB2312" w:hAnsi="仿宋" w:eastAsia="仿宋_GB2312" w:cs="仿宋"/>
          <w:snapToGrid w:val="0"/>
          <w:color w:val="000000"/>
          <w:kern w:val="0"/>
          <w:sz w:val="32"/>
          <w:szCs w:val="32"/>
          <w:lang w:val="en-US" w:eastAsia="zh-CN"/>
        </w:rPr>
        <w:t>校</w:t>
      </w:r>
      <w:r>
        <w:rPr>
          <w:rFonts w:hint="eastAsia" w:ascii="仿宋_GB2312" w:hAnsi="仿宋" w:eastAsia="仿宋_GB2312" w:cs="仿宋"/>
          <w:snapToGrid w:val="0"/>
          <w:color w:val="000000"/>
          <w:kern w:val="0"/>
          <w:sz w:val="32"/>
          <w:szCs w:val="32"/>
        </w:rPr>
        <w:t>高职及联合办学的本科专业全日制在校学生。</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ascii="仿宋_GB2312" w:hAnsi="仿宋" w:eastAsia="仿宋_GB2312" w:cs="仿宋"/>
          <w:color w:val="000000"/>
          <w:sz w:val="32"/>
          <w:szCs w:val="32"/>
        </w:rPr>
      </w:pPr>
      <w:r>
        <w:rPr>
          <w:rFonts w:hint="eastAsia" w:ascii="黑体" w:hAnsi="黑体" w:eastAsia="黑体" w:cs="黑体"/>
          <w:color w:val="000000"/>
          <w:sz w:val="32"/>
          <w:szCs w:val="32"/>
          <w:lang w:val="en-US" w:eastAsia="zh-CN"/>
        </w:rPr>
        <w:t>第三条</w:t>
      </w:r>
      <w:r>
        <w:rPr>
          <w:rFonts w:hint="eastAsia" w:ascii="仿宋_GB2312" w:hAnsi="仿宋" w:eastAsia="仿宋_GB2312" w:cs="仿宋"/>
          <w:color w:val="000000"/>
          <w:sz w:val="32"/>
          <w:szCs w:val="32"/>
          <w:lang w:val="en-US" w:eastAsia="zh-CN"/>
        </w:rPr>
        <w:t xml:space="preserve"> </w:t>
      </w:r>
      <w:r>
        <w:rPr>
          <w:rFonts w:hint="eastAsia" w:ascii="仿宋_GB2312" w:hAnsi="仿宋" w:eastAsia="仿宋_GB2312" w:cs="仿宋"/>
          <w:bCs/>
          <w:color w:val="000000"/>
          <w:sz w:val="32"/>
          <w:szCs w:val="32"/>
        </w:rPr>
        <w:t>学</w:t>
      </w:r>
      <w:r>
        <w:rPr>
          <w:rFonts w:hint="eastAsia" w:ascii="仿宋_GB2312" w:hAnsi="仿宋" w:eastAsia="仿宋_GB2312" w:cs="仿宋"/>
          <w:bCs/>
          <w:color w:val="000000"/>
          <w:sz w:val="32"/>
          <w:szCs w:val="32"/>
          <w:lang w:val="en-US" w:eastAsia="zh-CN"/>
        </w:rPr>
        <w:t>校</w:t>
      </w:r>
      <w:r>
        <w:rPr>
          <w:rFonts w:hint="eastAsia" w:ascii="仿宋_GB2312" w:hAnsi="仿宋" w:eastAsia="仿宋_GB2312" w:cs="仿宋"/>
          <w:bCs/>
          <w:color w:val="000000"/>
          <w:sz w:val="32"/>
          <w:szCs w:val="32"/>
        </w:rPr>
        <w:t>重点支持全国职业院校技能大赛、世界技能大赛</w:t>
      </w:r>
      <w:r>
        <w:rPr>
          <w:rFonts w:hint="eastAsia" w:ascii="仿宋_GB2312" w:hAnsi="仿宋" w:eastAsia="仿宋_GB2312" w:cs="仿宋"/>
          <w:bCs/>
          <w:color w:val="000000"/>
          <w:sz w:val="32"/>
          <w:szCs w:val="32"/>
          <w:lang w:eastAsia="zh-CN"/>
        </w:rPr>
        <w:t>、</w:t>
      </w:r>
      <w:r>
        <w:rPr>
          <w:rFonts w:hint="eastAsia" w:ascii="仿宋_GB2312" w:hAnsi="仿宋" w:eastAsia="仿宋_GB2312" w:cs="仿宋"/>
          <w:bCs/>
          <w:color w:val="000000"/>
          <w:sz w:val="32"/>
          <w:szCs w:val="32"/>
        </w:rPr>
        <w:t>全国学科竞赛</w:t>
      </w:r>
      <w:r>
        <w:rPr>
          <w:rFonts w:hint="eastAsia" w:ascii="仿宋_GB2312" w:hAnsi="仿宋" w:eastAsia="仿宋_GB2312" w:cs="仿宋"/>
          <w:bCs/>
          <w:color w:val="000000"/>
          <w:sz w:val="32"/>
          <w:szCs w:val="32"/>
          <w:lang w:eastAsia="zh-CN"/>
        </w:rPr>
        <w:t>、</w:t>
      </w:r>
      <w:r>
        <w:rPr>
          <w:rFonts w:hint="eastAsia" w:ascii="仿宋_GB2312" w:hAnsi="仿宋" w:eastAsia="仿宋_GB2312" w:cs="仿宋"/>
          <w:bCs/>
          <w:color w:val="000000"/>
          <w:sz w:val="32"/>
          <w:szCs w:val="32"/>
        </w:rPr>
        <w:t>世界职业院校技能大赛</w:t>
      </w:r>
      <w:r>
        <w:rPr>
          <w:rFonts w:hint="eastAsia" w:ascii="仿宋_GB2312" w:hAnsi="仿宋" w:eastAsia="仿宋_GB2312" w:cs="仿宋"/>
          <w:bCs/>
          <w:color w:val="000000"/>
          <w:sz w:val="32"/>
          <w:szCs w:val="32"/>
          <w:lang w:eastAsia="zh-CN"/>
        </w:rPr>
        <w:t>、</w:t>
      </w:r>
      <w:r>
        <w:rPr>
          <w:rFonts w:hint="eastAsia" w:ascii="仿宋_GB2312" w:hAnsi="仿宋" w:eastAsia="仿宋_GB2312" w:cs="仿宋"/>
          <w:bCs/>
          <w:color w:val="000000"/>
          <w:sz w:val="32"/>
          <w:szCs w:val="32"/>
          <w:lang w:val="en-US" w:eastAsia="zh-CN"/>
        </w:rPr>
        <w:t>全国行业</w:t>
      </w:r>
      <w:bookmarkStart w:id="1" w:name="_GoBack"/>
      <w:bookmarkEnd w:id="1"/>
      <w:r>
        <w:rPr>
          <w:rFonts w:hint="eastAsia" w:ascii="仿宋_GB2312" w:hAnsi="仿宋" w:eastAsia="仿宋_GB2312" w:cs="仿宋"/>
          <w:bCs/>
          <w:color w:val="000000"/>
          <w:sz w:val="32"/>
          <w:szCs w:val="32"/>
          <w:lang w:val="en-US" w:eastAsia="zh-CN"/>
        </w:rPr>
        <w:t>职业技能竞赛、</w:t>
      </w:r>
      <w:r>
        <w:rPr>
          <w:rFonts w:hint="eastAsia" w:ascii="仿宋_GB2312" w:hAnsi="仿宋" w:eastAsia="仿宋_GB2312" w:cs="仿宋"/>
          <w:bCs/>
          <w:color w:val="000000"/>
          <w:sz w:val="32"/>
          <w:szCs w:val="32"/>
        </w:rPr>
        <w:t>浙江省大学生科技竞赛委员</w:t>
      </w:r>
      <w:r>
        <w:rPr>
          <w:rFonts w:hint="eastAsia" w:ascii="仿宋_GB2312" w:hAnsi="仿宋" w:eastAsia="仿宋_GB2312" w:cs="仿宋"/>
          <w:color w:val="000000"/>
          <w:sz w:val="32"/>
          <w:szCs w:val="32"/>
        </w:rPr>
        <w:t>会</w:t>
      </w:r>
      <w:r>
        <w:rPr>
          <w:rFonts w:hint="eastAsia" w:ascii="仿宋_GB2312" w:hAnsi="仿宋" w:eastAsia="仿宋_GB2312" w:cs="仿宋"/>
          <w:bCs/>
          <w:color w:val="000000"/>
          <w:sz w:val="32"/>
          <w:szCs w:val="32"/>
        </w:rPr>
        <w:t>赛项</w:t>
      </w:r>
      <w:r>
        <w:rPr>
          <w:rFonts w:hint="eastAsia" w:ascii="仿宋_GB2312" w:hAnsi="仿宋" w:eastAsia="仿宋_GB2312" w:cs="仿宋"/>
          <w:bCs/>
          <w:color w:val="000000"/>
          <w:sz w:val="32"/>
          <w:szCs w:val="32"/>
          <w:lang w:val="en-US" w:eastAsia="zh-CN"/>
        </w:rPr>
        <w:t>等</w:t>
      </w:r>
      <w:r>
        <w:rPr>
          <w:rFonts w:hint="eastAsia" w:ascii="仿宋_GB2312" w:hAnsi="仿宋" w:eastAsia="仿宋_GB2312" w:cs="仿宋"/>
          <w:bCs/>
          <w:color w:val="000000"/>
          <w:sz w:val="32"/>
          <w:szCs w:val="32"/>
          <w:highlight w:val="cyan"/>
          <w:lang w:val="en-US" w:eastAsia="zh-CN"/>
        </w:rPr>
        <w:t>浙江省高校综合考核认定赛项</w:t>
      </w:r>
      <w:r>
        <w:rPr>
          <w:rFonts w:hint="eastAsia" w:ascii="仿宋_GB2312" w:hAnsi="仿宋" w:eastAsia="仿宋_GB2312" w:cs="仿宋"/>
          <w:bCs/>
          <w:color w:val="000000"/>
          <w:sz w:val="32"/>
          <w:szCs w:val="32"/>
        </w:rPr>
        <w:t>。</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黑体" w:hAnsi="黑体" w:eastAsia="黑体" w:cs="黑体fal"/>
          <w:color w:val="000000"/>
          <w:sz w:val="32"/>
          <w:szCs w:val="32"/>
        </w:rPr>
      </w:pPr>
      <w:r>
        <w:rPr>
          <w:rFonts w:hint="eastAsia" w:ascii="黑体" w:hAnsi="黑体" w:eastAsia="黑体" w:cs="黑体"/>
          <w:color w:val="000000"/>
          <w:sz w:val="32"/>
          <w:szCs w:val="32"/>
          <w:lang w:val="en-US" w:eastAsia="zh-CN"/>
        </w:rPr>
        <w:t>第四条</w:t>
      </w:r>
      <w:r>
        <w:rPr>
          <w:rFonts w:hint="eastAsia" w:ascii="仿宋_GB2312" w:hAnsi="仿宋" w:eastAsia="仿宋_GB2312" w:cs="仿宋"/>
          <w:color w:val="000000"/>
          <w:sz w:val="32"/>
          <w:szCs w:val="32"/>
          <w:lang w:val="en-US" w:eastAsia="zh-CN"/>
        </w:rPr>
        <w:t xml:space="preserve"> </w:t>
      </w:r>
      <w:r>
        <w:rPr>
          <w:rFonts w:hint="eastAsia" w:ascii="仿宋_GB2312" w:hAnsi="仿宋" w:eastAsia="仿宋_GB2312" w:cs="仿宋"/>
          <w:color w:val="000000"/>
          <w:sz w:val="32"/>
          <w:szCs w:val="32"/>
        </w:rPr>
        <w:t>本办法适用于学</w:t>
      </w:r>
      <w:r>
        <w:rPr>
          <w:rFonts w:hint="eastAsia" w:ascii="仿宋_GB2312" w:hAnsi="仿宋" w:eastAsia="仿宋_GB2312" w:cs="仿宋"/>
          <w:color w:val="000000"/>
          <w:sz w:val="32"/>
          <w:szCs w:val="32"/>
          <w:lang w:val="en-US" w:eastAsia="zh-CN"/>
        </w:rPr>
        <w:t>校</w:t>
      </w:r>
      <w:r>
        <w:rPr>
          <w:rFonts w:hint="eastAsia" w:ascii="仿宋_GB2312" w:hAnsi="仿宋" w:eastAsia="仿宋_GB2312" w:cs="仿宋"/>
          <w:color w:val="000000"/>
          <w:sz w:val="32"/>
          <w:szCs w:val="32"/>
        </w:rPr>
        <w:t>组织的各类大学生竞赛。</w:t>
      </w:r>
    </w:p>
    <w:p>
      <w:pPr>
        <w:keepNext w:val="0"/>
        <w:keepLines w:val="0"/>
        <w:pageBreakBefore w:val="0"/>
        <w:kinsoku/>
        <w:wordWrap/>
        <w:overflowPunct/>
        <w:topLinePunct w:val="0"/>
        <w:autoSpaceDN/>
        <w:bidi w:val="0"/>
        <w:adjustRightInd/>
        <w:snapToGrid/>
        <w:spacing w:line="360" w:lineRule="auto"/>
        <w:jc w:val="center"/>
        <w:textAlignment w:val="auto"/>
        <w:rPr>
          <w:rFonts w:hint="eastAsia" w:ascii="黑体" w:hAnsi="黑体" w:eastAsia="黑体" w:cs="黑体fal"/>
          <w:color w:val="000000"/>
          <w:sz w:val="32"/>
          <w:szCs w:val="32"/>
          <w:lang w:val="en-US" w:eastAsia="zh-CN"/>
        </w:rPr>
      </w:pPr>
      <w:r>
        <w:rPr>
          <w:rFonts w:hint="eastAsia" w:ascii="黑体" w:hAnsi="黑体" w:eastAsia="黑体" w:cs="黑体fal"/>
          <w:color w:val="000000"/>
          <w:sz w:val="32"/>
          <w:szCs w:val="32"/>
          <w:lang w:val="en-US" w:eastAsia="zh-CN"/>
        </w:rPr>
        <w:t xml:space="preserve">第二章 </w:t>
      </w:r>
      <w:r>
        <w:rPr>
          <w:rFonts w:hint="eastAsia" w:ascii="黑体" w:hAnsi="黑体" w:eastAsia="黑体" w:cs="黑体fal"/>
          <w:color w:val="000000"/>
          <w:sz w:val="32"/>
          <w:szCs w:val="32"/>
        </w:rPr>
        <w:t>竞赛</w:t>
      </w:r>
      <w:r>
        <w:rPr>
          <w:rFonts w:hint="eastAsia" w:ascii="黑体" w:hAnsi="黑体" w:eastAsia="黑体" w:cs="黑体fal"/>
          <w:color w:val="000000"/>
          <w:sz w:val="32"/>
          <w:szCs w:val="32"/>
          <w:lang w:val="en-US" w:eastAsia="zh-CN"/>
        </w:rPr>
        <w:t>分类与级别</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default" w:ascii="仿宋_GB2312" w:hAnsi="仿宋" w:eastAsia="仿宋_GB2312" w:cs="仿宋"/>
          <w:color w:val="000000"/>
          <w:sz w:val="32"/>
          <w:szCs w:val="32"/>
          <w:lang w:val="en-US" w:eastAsia="zh-CN"/>
        </w:rPr>
      </w:pPr>
      <w:r>
        <w:rPr>
          <w:rFonts w:hint="eastAsia" w:ascii="黑体" w:hAnsi="黑体" w:eastAsia="黑体" w:cs="黑体fal"/>
          <w:color w:val="000000"/>
          <w:sz w:val="32"/>
          <w:szCs w:val="32"/>
          <w:lang w:val="en-US" w:eastAsia="zh-CN"/>
        </w:rPr>
        <w:t xml:space="preserve">第五条 </w:t>
      </w:r>
      <w:r>
        <w:rPr>
          <w:rFonts w:hint="eastAsia" w:ascii="仿宋_GB2312" w:hAnsi="仿宋" w:eastAsia="仿宋_GB2312" w:cs="仿宋"/>
          <w:color w:val="000000"/>
          <w:sz w:val="32"/>
          <w:szCs w:val="32"/>
          <w:lang w:val="en-US" w:eastAsia="zh-CN"/>
        </w:rPr>
        <w:t>竞赛分类包括技能竞赛、学科竞赛及其他竞赛等赛项。并依据职业教育专业目录</w:t>
      </w:r>
      <w:r>
        <w:rPr>
          <w:rFonts w:hint="eastAsia" w:ascii="仿宋_GB2312" w:hAnsi="仿宋" w:eastAsia="仿宋_GB2312" w:cs="仿宋"/>
          <w:color w:val="000000"/>
          <w:sz w:val="32"/>
          <w:szCs w:val="32"/>
          <w:highlight w:val="cyan"/>
          <w:lang w:val="en-US" w:eastAsia="zh-CN"/>
        </w:rPr>
        <w:t>42-52大类为甲类</w:t>
      </w:r>
      <w:r>
        <w:rPr>
          <w:rFonts w:hint="eastAsia" w:ascii="仿宋_GB2312" w:hAnsi="仿宋" w:eastAsia="仿宋_GB2312" w:cs="仿宋"/>
          <w:color w:val="000000"/>
          <w:sz w:val="32"/>
          <w:szCs w:val="32"/>
          <w:lang w:val="en-US" w:eastAsia="zh-CN"/>
        </w:rPr>
        <w:t>赛项，</w:t>
      </w:r>
      <w:r>
        <w:rPr>
          <w:rFonts w:hint="eastAsia" w:ascii="仿宋_GB2312" w:hAnsi="仿宋" w:eastAsia="仿宋_GB2312" w:cs="仿宋"/>
          <w:color w:val="000000"/>
          <w:sz w:val="32"/>
          <w:szCs w:val="32"/>
          <w:highlight w:val="cyan"/>
          <w:lang w:val="en-US" w:eastAsia="zh-CN"/>
        </w:rPr>
        <w:t>53-59大类为乙类</w:t>
      </w:r>
      <w:r>
        <w:rPr>
          <w:rFonts w:hint="eastAsia" w:ascii="仿宋_GB2312" w:hAnsi="仿宋" w:eastAsia="仿宋_GB2312" w:cs="仿宋"/>
          <w:color w:val="000000"/>
          <w:sz w:val="32"/>
          <w:szCs w:val="32"/>
          <w:lang w:val="en-US" w:eastAsia="zh-CN"/>
        </w:rPr>
        <w:t>赛项。</w:t>
      </w:r>
    </w:p>
    <w:p>
      <w:pPr>
        <w:keepNext w:val="0"/>
        <w:keepLines w:val="0"/>
        <w:pageBreakBefore w:val="0"/>
        <w:kinsoku/>
        <w:wordWrap/>
        <w:overflowPunct/>
        <w:topLinePunct w:val="0"/>
        <w:autoSpaceDN/>
        <w:bidi w:val="0"/>
        <w:adjustRightInd/>
        <w:snapToGrid/>
        <w:spacing w:line="360" w:lineRule="auto"/>
        <w:ind w:firstLine="643" w:firstLineChars="200"/>
        <w:textAlignment w:val="auto"/>
        <w:rPr>
          <w:rFonts w:hint="default" w:ascii="仿宋_GB2312" w:hAnsi="仿宋" w:eastAsia="仿宋_GB2312" w:cs="仿宋"/>
          <w:color w:val="000000"/>
          <w:sz w:val="32"/>
          <w:szCs w:val="32"/>
          <w:lang w:val="en-US" w:eastAsia="zh-CN"/>
        </w:rPr>
      </w:pPr>
      <w:r>
        <w:rPr>
          <w:rFonts w:hint="eastAsia" w:ascii="仿宋_GB2312" w:hAnsi="仿宋" w:eastAsia="仿宋_GB2312" w:cs="仿宋"/>
          <w:b/>
          <w:bCs/>
          <w:color w:val="000000"/>
          <w:sz w:val="32"/>
          <w:szCs w:val="32"/>
          <w:highlight w:val="cyan"/>
          <w:lang w:val="en-US" w:eastAsia="zh-CN"/>
        </w:rPr>
        <w:t>技能竞赛</w:t>
      </w:r>
      <w:r>
        <w:rPr>
          <w:rFonts w:hint="eastAsia" w:ascii="仿宋_GB2312" w:hAnsi="仿宋" w:eastAsia="仿宋_GB2312" w:cs="仿宋"/>
          <w:color w:val="000000"/>
          <w:sz w:val="32"/>
          <w:szCs w:val="32"/>
          <w:lang w:val="en-US" w:eastAsia="zh-CN"/>
        </w:rPr>
        <w:t>：指与专业技能和专项素质关系紧密，以操作为主要形式的相关赛项，主要包括全国职业院校技能大赛、世界职业院校技能大赛、世界技能大赛、全国行业职业技能竞赛及各赛项相关选拔赛等。</w:t>
      </w:r>
    </w:p>
    <w:p>
      <w:pPr>
        <w:keepNext w:val="0"/>
        <w:keepLines w:val="0"/>
        <w:pageBreakBefore w:val="0"/>
        <w:kinsoku/>
        <w:wordWrap/>
        <w:overflowPunct/>
        <w:topLinePunct w:val="0"/>
        <w:autoSpaceDN/>
        <w:bidi w:val="0"/>
        <w:adjustRightInd/>
        <w:snapToGrid/>
        <w:spacing w:line="360" w:lineRule="auto"/>
        <w:ind w:firstLine="643" w:firstLineChars="200"/>
        <w:textAlignment w:val="auto"/>
        <w:rPr>
          <w:rFonts w:hint="default" w:ascii="仿宋_GB2312" w:hAnsi="仿宋" w:eastAsia="仿宋_GB2312" w:cs="仿宋"/>
          <w:color w:val="000000"/>
          <w:sz w:val="32"/>
          <w:szCs w:val="32"/>
          <w:lang w:val="en-US" w:eastAsia="zh-CN"/>
        </w:rPr>
      </w:pPr>
      <w:r>
        <w:rPr>
          <w:rFonts w:hint="eastAsia" w:ascii="仿宋_GB2312" w:hAnsi="仿宋" w:eastAsia="仿宋_GB2312" w:cs="仿宋"/>
          <w:b/>
          <w:bCs/>
          <w:color w:val="000000"/>
          <w:sz w:val="32"/>
          <w:szCs w:val="32"/>
          <w:highlight w:val="cyan"/>
          <w:lang w:val="en-US" w:eastAsia="zh-CN"/>
        </w:rPr>
        <w:t>学科竞赛</w:t>
      </w:r>
      <w:r>
        <w:rPr>
          <w:rFonts w:hint="eastAsia" w:ascii="仿宋_GB2312" w:hAnsi="仿宋" w:eastAsia="仿宋_GB2312" w:cs="仿宋"/>
          <w:color w:val="000000"/>
          <w:sz w:val="32"/>
          <w:szCs w:val="32"/>
          <w:lang w:val="en-US" w:eastAsia="zh-CN"/>
        </w:rPr>
        <w:t>：指各级大学生科技竞赛委员会组织的大学生知识、能力、应用、素质等综合素质提升的相关赛项。主要参照浙江省大学生科技竞赛目录清单、全国学科竞赛目录清单等。</w:t>
      </w:r>
    </w:p>
    <w:p>
      <w:pPr>
        <w:keepNext w:val="0"/>
        <w:keepLines w:val="0"/>
        <w:pageBreakBefore w:val="0"/>
        <w:kinsoku/>
        <w:wordWrap/>
        <w:overflowPunct/>
        <w:topLinePunct w:val="0"/>
        <w:autoSpaceDN/>
        <w:bidi w:val="0"/>
        <w:adjustRightInd/>
        <w:snapToGrid/>
        <w:spacing w:line="360" w:lineRule="auto"/>
        <w:ind w:firstLine="643" w:firstLineChars="200"/>
        <w:textAlignment w:val="auto"/>
        <w:rPr>
          <w:rFonts w:hint="eastAsia" w:ascii="仿宋_GB2312" w:hAnsi="仿宋" w:eastAsia="仿宋_GB2312" w:cs="仿宋"/>
          <w:color w:val="000000"/>
          <w:sz w:val="32"/>
          <w:szCs w:val="32"/>
          <w:lang w:val="en-US" w:eastAsia="zh-CN"/>
        </w:rPr>
      </w:pPr>
      <w:r>
        <w:rPr>
          <w:rFonts w:hint="eastAsia" w:ascii="仿宋_GB2312" w:hAnsi="仿宋" w:eastAsia="仿宋_GB2312" w:cs="仿宋"/>
          <w:b/>
          <w:bCs/>
          <w:color w:val="000000"/>
          <w:sz w:val="32"/>
          <w:szCs w:val="32"/>
          <w:highlight w:val="cyan"/>
          <w:lang w:val="en-US" w:eastAsia="zh-CN"/>
        </w:rPr>
        <w:t>其他竞赛</w:t>
      </w:r>
      <w:r>
        <w:rPr>
          <w:rFonts w:hint="eastAsia" w:ascii="仿宋_GB2312" w:hAnsi="仿宋" w:eastAsia="仿宋_GB2312" w:cs="仿宋"/>
          <w:color w:val="000000"/>
          <w:sz w:val="32"/>
          <w:szCs w:val="32"/>
          <w:lang w:val="en-US" w:eastAsia="zh-CN"/>
        </w:rPr>
        <w:t>：未进入以上竞赛目录清单的赛项。</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黑体" w:hAnsi="黑体" w:eastAsia="黑体" w:cs="黑体fal"/>
          <w:color w:val="000000"/>
          <w:sz w:val="32"/>
          <w:szCs w:val="32"/>
          <w:lang w:val="en-US" w:eastAsia="zh-CN"/>
        </w:rPr>
        <w:t>第六条</w:t>
      </w:r>
      <w:r>
        <w:rPr>
          <w:rFonts w:hint="eastAsia" w:ascii="仿宋_GB2312" w:hAnsi="仿宋" w:eastAsia="仿宋_GB2312" w:cs="仿宋"/>
          <w:color w:val="000000"/>
          <w:sz w:val="32"/>
          <w:szCs w:val="32"/>
          <w:lang w:val="en-US" w:eastAsia="zh-CN"/>
        </w:rPr>
        <w:t xml:space="preserve"> 竞赛级别分为国际级、国家级、省级、市级、校级竞赛等。</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仿宋_GB2312" w:hAnsi="仿宋" w:eastAsia="仿宋_GB2312" w:cs="仿宋"/>
          <w:color w:val="000000"/>
          <w:sz w:val="32"/>
          <w:szCs w:val="32"/>
          <w:lang w:val="en-US" w:eastAsia="zh-CN"/>
        </w:rPr>
        <w:t>国际级竞赛：主办单位为国际组织的跨国竞赛。</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仿宋_GB2312" w:hAnsi="仿宋" w:eastAsia="仿宋_GB2312" w:cs="仿宋"/>
          <w:color w:val="000000"/>
          <w:sz w:val="32"/>
          <w:szCs w:val="32"/>
          <w:highlight w:val="cyan"/>
          <w:lang w:val="en-US" w:eastAsia="zh-CN"/>
        </w:rPr>
        <w:t>国家级竞赛</w:t>
      </w:r>
      <w:r>
        <w:rPr>
          <w:rFonts w:hint="eastAsia" w:ascii="仿宋_GB2312" w:hAnsi="仿宋" w:eastAsia="仿宋_GB2312" w:cs="仿宋"/>
          <w:color w:val="000000"/>
          <w:sz w:val="32"/>
          <w:szCs w:val="32"/>
          <w:lang w:val="en-US" w:eastAsia="zh-CN"/>
        </w:rPr>
        <w:t>：纳入浙江省高校综合考核认定赛项目录，由国家部级政府部门主办竞赛、全国大学生科技竞赛委员会以及全国职业院校技能大赛组织委员会认定的竞赛。</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仿宋_GB2312" w:hAnsi="仿宋" w:eastAsia="仿宋_GB2312" w:cs="仿宋"/>
          <w:color w:val="000000"/>
          <w:sz w:val="32"/>
          <w:szCs w:val="32"/>
          <w:highlight w:val="cyan"/>
          <w:lang w:val="en-US" w:eastAsia="zh-CN"/>
        </w:rPr>
        <w:t>省级竞赛</w:t>
      </w:r>
      <w:r>
        <w:rPr>
          <w:rFonts w:hint="eastAsia" w:ascii="仿宋_GB2312" w:hAnsi="仿宋" w:eastAsia="仿宋_GB2312" w:cs="仿宋"/>
          <w:color w:val="000000"/>
          <w:sz w:val="32"/>
          <w:szCs w:val="32"/>
          <w:lang w:val="en-US" w:eastAsia="zh-CN"/>
        </w:rPr>
        <w:t>：纳入浙江省高校综合考核认定赛项目录，由浙江省人民政府、厅级政府部门主办的赛项、浙江省高职院校职业技能大赛暨全国职业院校技能大赛选拔赛各赛项、浙江省大学生科技竞赛委员会认定的大学生科技竞赛等。</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仿宋_GB2312" w:hAnsi="仿宋" w:eastAsia="仿宋_GB2312" w:cs="仿宋"/>
          <w:color w:val="000000"/>
          <w:sz w:val="32"/>
          <w:szCs w:val="32"/>
          <w:highlight w:val="cyan"/>
          <w:lang w:val="en-US" w:eastAsia="zh-CN"/>
        </w:rPr>
        <w:t>市级竞赛</w:t>
      </w:r>
      <w:r>
        <w:rPr>
          <w:rFonts w:hint="eastAsia" w:ascii="仿宋_GB2312" w:hAnsi="仿宋" w:eastAsia="仿宋_GB2312" w:cs="仿宋"/>
          <w:color w:val="000000"/>
          <w:sz w:val="32"/>
          <w:szCs w:val="32"/>
          <w:lang w:val="en-US" w:eastAsia="zh-CN"/>
        </w:rPr>
        <w:t>：主办单位为温州市相关局办组织的竞赛项目等。</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仿宋_GB2312" w:hAnsi="仿宋" w:eastAsia="仿宋_GB2312" w:cs="仿宋"/>
          <w:color w:val="000000"/>
          <w:sz w:val="32"/>
          <w:szCs w:val="32"/>
          <w:highlight w:val="cyan"/>
          <w:lang w:val="en-US" w:eastAsia="zh-CN"/>
        </w:rPr>
        <w:t>校级竞赛</w:t>
      </w:r>
      <w:r>
        <w:rPr>
          <w:rFonts w:hint="eastAsia" w:ascii="仿宋_GB2312" w:hAnsi="仿宋" w:eastAsia="仿宋_GB2312" w:cs="仿宋"/>
          <w:color w:val="000000"/>
          <w:sz w:val="32"/>
          <w:szCs w:val="32"/>
          <w:lang w:val="en-US" w:eastAsia="zh-CN"/>
        </w:rPr>
        <w:t>：学校组织的教育教学竞赛项目。</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仿宋_GB2312" w:hAnsi="仿宋" w:eastAsia="仿宋_GB2312" w:cs="仿宋"/>
          <w:color w:val="000000"/>
          <w:sz w:val="32"/>
          <w:szCs w:val="32"/>
        </w:rPr>
        <w:t>赛事</w:t>
      </w:r>
      <w:r>
        <w:rPr>
          <w:rFonts w:hint="eastAsia" w:ascii="仿宋_GB2312" w:hAnsi="仿宋" w:eastAsia="仿宋_GB2312" w:cs="仿宋"/>
          <w:bCs/>
          <w:color w:val="000000"/>
          <w:sz w:val="32"/>
          <w:szCs w:val="32"/>
          <w:lang w:val="en-US" w:eastAsia="zh-CN"/>
        </w:rPr>
        <w:t>类型</w:t>
      </w:r>
      <w:r>
        <w:rPr>
          <w:rFonts w:hint="eastAsia" w:ascii="仿宋_GB2312" w:hAnsi="仿宋" w:eastAsia="仿宋_GB2312" w:cs="仿宋"/>
          <w:bCs/>
          <w:color w:val="000000"/>
          <w:sz w:val="32"/>
          <w:szCs w:val="32"/>
        </w:rPr>
        <w:t>和</w:t>
      </w:r>
      <w:r>
        <w:rPr>
          <w:rFonts w:hint="eastAsia" w:ascii="仿宋_GB2312" w:hAnsi="仿宋" w:eastAsia="仿宋_GB2312" w:cs="仿宋"/>
          <w:bCs/>
          <w:color w:val="000000"/>
          <w:sz w:val="32"/>
          <w:szCs w:val="32"/>
          <w:lang w:val="en-US" w:eastAsia="zh-CN"/>
        </w:rPr>
        <w:t>级别</w:t>
      </w:r>
      <w:r>
        <w:rPr>
          <w:rFonts w:hint="eastAsia" w:ascii="仿宋_GB2312" w:hAnsi="仿宋" w:eastAsia="仿宋_GB2312" w:cs="仿宋"/>
          <w:bCs/>
          <w:color w:val="000000"/>
          <w:sz w:val="32"/>
          <w:szCs w:val="32"/>
        </w:rPr>
        <w:t>由</w:t>
      </w:r>
      <w:r>
        <w:rPr>
          <w:rFonts w:hint="eastAsia" w:ascii="仿宋_GB2312" w:hAnsi="仿宋" w:eastAsia="仿宋_GB2312" w:cs="仿宋"/>
          <w:color w:val="000000"/>
          <w:sz w:val="32"/>
          <w:szCs w:val="32"/>
        </w:rPr>
        <w:t>教务处</w:t>
      </w:r>
      <w:r>
        <w:rPr>
          <w:rFonts w:hint="eastAsia" w:ascii="仿宋_GB2312" w:hAnsi="仿宋" w:eastAsia="仿宋_GB2312" w:cs="仿宋"/>
          <w:color w:val="000000"/>
          <w:sz w:val="32"/>
          <w:szCs w:val="32"/>
          <w:lang w:val="en-US" w:eastAsia="zh-CN"/>
        </w:rPr>
        <w:t>依据相关文件</w:t>
      </w:r>
      <w:r>
        <w:rPr>
          <w:rFonts w:hint="eastAsia" w:ascii="仿宋_GB2312" w:hAnsi="仿宋" w:eastAsia="仿宋_GB2312" w:cs="仿宋"/>
          <w:color w:val="000000"/>
          <w:sz w:val="32"/>
          <w:szCs w:val="32"/>
        </w:rPr>
        <w:t>负责</w:t>
      </w:r>
      <w:r>
        <w:rPr>
          <w:rFonts w:hint="eastAsia" w:ascii="仿宋_GB2312" w:hAnsi="仿宋" w:eastAsia="仿宋_GB2312" w:cs="仿宋"/>
          <w:bCs/>
          <w:color w:val="000000"/>
          <w:sz w:val="32"/>
          <w:szCs w:val="32"/>
        </w:rPr>
        <w:t>核定</w:t>
      </w:r>
      <w:r>
        <w:rPr>
          <w:rFonts w:hint="eastAsia" w:ascii="仿宋_GB2312" w:hAnsi="仿宋" w:eastAsia="仿宋_GB2312" w:cs="仿宋"/>
          <w:bCs/>
          <w:color w:val="000000"/>
          <w:sz w:val="32"/>
          <w:szCs w:val="32"/>
          <w:lang w:eastAsia="zh-CN"/>
        </w:rPr>
        <w:t>。</w:t>
      </w:r>
    </w:p>
    <w:p>
      <w:pPr>
        <w:keepNext w:val="0"/>
        <w:keepLines w:val="0"/>
        <w:pageBreakBefore w:val="0"/>
        <w:kinsoku/>
        <w:wordWrap/>
        <w:overflowPunct/>
        <w:topLinePunct w:val="0"/>
        <w:autoSpaceDN/>
        <w:bidi w:val="0"/>
        <w:adjustRightInd/>
        <w:snapToGrid/>
        <w:spacing w:line="360" w:lineRule="auto"/>
        <w:jc w:val="center"/>
        <w:textAlignment w:val="auto"/>
        <w:rPr>
          <w:rFonts w:hint="eastAsia" w:ascii="黑体" w:hAnsi="黑体" w:eastAsia="黑体" w:cs="黑体fal"/>
          <w:color w:val="000000"/>
          <w:sz w:val="32"/>
          <w:szCs w:val="32"/>
        </w:rPr>
      </w:pPr>
      <w:r>
        <w:rPr>
          <w:rFonts w:hint="eastAsia" w:ascii="黑体" w:hAnsi="黑体" w:eastAsia="黑体" w:cs="黑体fal"/>
          <w:color w:val="000000"/>
          <w:sz w:val="32"/>
          <w:szCs w:val="32"/>
          <w:lang w:val="en-US" w:eastAsia="zh-CN"/>
        </w:rPr>
        <w:t xml:space="preserve">第三章 </w:t>
      </w:r>
      <w:r>
        <w:rPr>
          <w:rFonts w:hint="eastAsia" w:ascii="黑体" w:hAnsi="黑体" w:eastAsia="黑体" w:cs="黑体fal"/>
          <w:color w:val="000000"/>
          <w:sz w:val="32"/>
          <w:szCs w:val="32"/>
        </w:rPr>
        <w:t>竞赛组织与管理</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黑体" w:hAnsi="黑体" w:eastAsia="黑体" w:cs="黑体fal"/>
          <w:color w:val="000000"/>
          <w:sz w:val="32"/>
          <w:szCs w:val="32"/>
          <w:lang w:val="en-US" w:eastAsia="zh-CN"/>
        </w:rPr>
        <w:t xml:space="preserve">第七条 </w:t>
      </w:r>
      <w:r>
        <w:rPr>
          <w:rFonts w:hint="eastAsia" w:ascii="仿宋_GB2312" w:hAnsi="仿宋" w:eastAsia="仿宋_GB2312" w:cs="仿宋"/>
          <w:color w:val="000000"/>
          <w:sz w:val="32"/>
          <w:szCs w:val="32"/>
          <w:lang w:val="en-US" w:eastAsia="zh-CN"/>
        </w:rPr>
        <w:t>学校学生竞赛工作在主管校长统一领导下进行。由教务处负责组织协调与管理工作，负责学生竞赛管理，审订参赛计划、提出各学院年度考核相关指标；组织审定年度计划、审核参赛方案，确定参赛规模；负责与竞赛有关组织部门的协调联系工作；负责竞赛所需经费的预算及审核；负责审定指导学生科技竞赛团体奖成果计分及奖励等工作。</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黑体" w:hAnsi="黑体" w:eastAsia="黑体" w:cs="黑体fal"/>
          <w:color w:val="000000"/>
          <w:sz w:val="32"/>
          <w:szCs w:val="32"/>
          <w:lang w:val="en-US" w:eastAsia="zh-CN"/>
        </w:rPr>
        <w:t>第八条</w:t>
      </w:r>
      <w:r>
        <w:rPr>
          <w:rFonts w:hint="eastAsia" w:ascii="仿宋_GB2312" w:hAnsi="仿宋" w:eastAsia="仿宋_GB2312" w:cs="仿宋"/>
          <w:color w:val="000000"/>
          <w:sz w:val="32"/>
          <w:szCs w:val="32"/>
          <w:lang w:val="en-US" w:eastAsia="zh-CN"/>
        </w:rPr>
        <w:t xml:space="preserve"> “挑战杯” 全国大学生课外学术科技作品竞赛、中国大学生创业计划竞赛、中国国际“互联网+”大学生创新创业大赛、“挑战杯”职业学校创新创效创业大赛由学校团委组织协调与管理；大学生职业生涯规划竞赛由学校招生就业处组织协调与管理工作。</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default" w:ascii="仿宋_GB2312" w:hAnsi="仿宋" w:eastAsia="仿宋_GB2312" w:cs="仿宋"/>
          <w:color w:val="auto"/>
          <w:sz w:val="32"/>
          <w:szCs w:val="32"/>
          <w:highlight w:val="cyan"/>
          <w:lang w:val="en-US" w:eastAsia="zh-CN"/>
        </w:rPr>
      </w:pPr>
      <w:r>
        <w:rPr>
          <w:rFonts w:hint="eastAsia" w:ascii="黑体" w:hAnsi="黑体" w:eastAsia="黑体" w:cs="黑体fal"/>
          <w:color w:val="000000"/>
          <w:sz w:val="32"/>
          <w:szCs w:val="32"/>
          <w:lang w:val="en-US" w:eastAsia="zh-CN"/>
        </w:rPr>
        <w:t>第九条</w:t>
      </w:r>
      <w:r>
        <w:rPr>
          <w:rFonts w:hint="eastAsia" w:ascii="仿宋_GB2312" w:hAnsi="仿宋" w:eastAsia="仿宋_GB2312" w:cs="仿宋"/>
          <w:color w:val="000000"/>
          <w:sz w:val="32"/>
          <w:szCs w:val="32"/>
          <w:lang w:val="en-US" w:eastAsia="zh-CN"/>
        </w:rPr>
        <w:t xml:space="preserve"> 纳入浙江省高校综合考核认定赛项目录的国际级、国家级、省级竞赛由学校统筹，按赛项分别由教务处、招生就业处、校团委审核或选拔后组织参赛。</w:t>
      </w:r>
      <w:r>
        <w:rPr>
          <w:rFonts w:hint="eastAsia" w:ascii="仿宋_GB2312" w:hAnsi="仿宋" w:eastAsia="仿宋_GB2312" w:cs="仿宋"/>
          <w:color w:val="auto"/>
          <w:sz w:val="32"/>
          <w:szCs w:val="32"/>
          <w:highlight w:val="cyan"/>
          <w:lang w:val="en-US" w:eastAsia="zh-CN"/>
        </w:rPr>
        <w:t>其他竞赛由各学院组织参赛。</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黑体" w:hAnsi="黑体" w:eastAsia="黑体" w:cs="黑体fal"/>
          <w:color w:val="000000"/>
          <w:sz w:val="32"/>
          <w:szCs w:val="32"/>
          <w:lang w:val="en-US" w:eastAsia="zh-CN"/>
        </w:rPr>
        <w:t>第十条</w:t>
      </w:r>
      <w:r>
        <w:rPr>
          <w:rFonts w:hint="eastAsia" w:ascii="仿宋_GB2312" w:hAnsi="仿宋" w:eastAsia="仿宋_GB2312" w:cs="仿宋"/>
          <w:color w:val="000000"/>
          <w:sz w:val="32"/>
          <w:szCs w:val="32"/>
          <w:lang w:val="en-US" w:eastAsia="zh-CN"/>
        </w:rPr>
        <w:t xml:space="preserve"> 竞赛的参赛对象为全日制在校学生。学校鼓励跨学院、跨专业联合组队。根据竞赛文件通知，参赛名额受限的项目优先从校赛最优成绩中选取，综合考虑对口专业、历史成绩等因素择优推荐参赛选手。</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黑体" w:hAnsi="黑体" w:eastAsia="黑体" w:cs="黑体fal"/>
          <w:color w:val="000000"/>
          <w:sz w:val="32"/>
          <w:szCs w:val="32"/>
          <w:lang w:val="en-US" w:eastAsia="zh-CN"/>
        </w:rPr>
        <w:t>第十一条</w:t>
      </w:r>
      <w:r>
        <w:rPr>
          <w:rFonts w:hint="eastAsia" w:ascii="仿宋_GB2312" w:hAnsi="仿宋" w:eastAsia="仿宋_GB2312" w:cs="仿宋"/>
          <w:color w:val="000000"/>
          <w:sz w:val="32"/>
          <w:szCs w:val="32"/>
          <w:lang w:val="en-US" w:eastAsia="zh-CN"/>
        </w:rPr>
        <w:t xml:space="preserve"> 各学院根据国家、省竞赛年度安排，制定年度参赛计划，按时提交“参赛计划申请”。经对应主管职能部门同意承办相关专业或赛项的校级竞赛或选拔赛，合理控制同一项目推荐参加上级比赛的参赛规模。</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黑体" w:hAnsi="黑体" w:eastAsia="黑体" w:cs="黑体fal"/>
          <w:color w:val="000000"/>
          <w:sz w:val="32"/>
          <w:szCs w:val="32"/>
          <w:lang w:val="en-US" w:eastAsia="zh-CN"/>
        </w:rPr>
        <w:t>第十二条</w:t>
      </w:r>
      <w:r>
        <w:rPr>
          <w:rFonts w:hint="eastAsia" w:ascii="仿宋_GB2312" w:hAnsi="仿宋" w:eastAsia="仿宋_GB2312" w:cs="仿宋"/>
          <w:color w:val="000000"/>
          <w:sz w:val="32"/>
          <w:szCs w:val="32"/>
          <w:lang w:val="en-US" w:eastAsia="zh-CN"/>
        </w:rPr>
        <w:t xml:space="preserve"> 各学院为竞赛配备指导教师，准备竞赛所需的设备、仪器、材料和场地，实施学生辅导和培训，指导学生参加竞赛，并做好参赛保障等工作。</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黑体" w:hAnsi="黑体" w:eastAsia="黑体" w:cs="黑体fal"/>
          <w:color w:val="000000"/>
          <w:sz w:val="32"/>
          <w:szCs w:val="32"/>
          <w:lang w:val="en-US" w:eastAsia="zh-CN"/>
        </w:rPr>
        <w:t>第十三条</w:t>
      </w:r>
      <w:r>
        <w:rPr>
          <w:rFonts w:hint="eastAsia" w:ascii="仿宋_GB2312" w:hAnsi="仿宋" w:eastAsia="仿宋_GB2312" w:cs="仿宋"/>
          <w:color w:val="000000"/>
          <w:sz w:val="32"/>
          <w:szCs w:val="32"/>
          <w:lang w:val="en-US" w:eastAsia="zh-CN"/>
        </w:rPr>
        <w:t xml:space="preserve"> 竞赛工作实行项目负责制。各学院根据参赛计划确定项目负责人，组织选拔学生备赛，选派富有经验的教师对参赛选手进行强化培训。</w:t>
      </w:r>
      <w:r>
        <w:rPr>
          <w:rFonts w:hint="eastAsia" w:ascii="仿宋_GB2312" w:hAnsi="仿宋" w:eastAsia="仿宋_GB2312" w:cs="仿宋"/>
          <w:color w:val="000000"/>
          <w:sz w:val="32"/>
          <w:szCs w:val="32"/>
          <w:highlight w:val="cyan"/>
          <w:lang w:val="en-US" w:eastAsia="zh-CN"/>
        </w:rPr>
        <w:t>负责人填写“竞赛项目申请”流程，由部门初审教务处审核，报主管院长审批。其他项目填写审批流程后由所在二级学院审批后执行</w:t>
      </w:r>
      <w:r>
        <w:rPr>
          <w:rFonts w:hint="eastAsia" w:ascii="仿宋_GB2312" w:hAnsi="仿宋" w:eastAsia="仿宋_GB2312" w:cs="仿宋"/>
          <w:color w:val="000000"/>
          <w:sz w:val="32"/>
          <w:szCs w:val="32"/>
          <w:lang w:val="en-US" w:eastAsia="zh-CN"/>
        </w:rPr>
        <w:t>。</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黑体" w:hAnsi="黑体" w:eastAsia="黑体" w:cs="黑体fal"/>
          <w:color w:val="000000"/>
          <w:sz w:val="32"/>
          <w:szCs w:val="32"/>
          <w:lang w:val="en-US" w:eastAsia="zh-CN"/>
        </w:rPr>
        <w:t>第十四条</w:t>
      </w:r>
      <w:r>
        <w:rPr>
          <w:rFonts w:hint="eastAsia" w:ascii="仿宋_GB2312" w:hAnsi="仿宋" w:eastAsia="仿宋_GB2312" w:cs="仿宋"/>
          <w:color w:val="000000"/>
          <w:sz w:val="32"/>
          <w:szCs w:val="32"/>
          <w:lang w:val="en-US" w:eastAsia="zh-CN"/>
        </w:rPr>
        <w:t xml:space="preserve"> 每年度每位竞赛项目负责人和其他指导教师最多可指导同类赛项两项。“挑战杯”全国大学生课外学术科技作品竞赛和中国大学生创业计划竞赛、中国“互联网+”大学生创新创业大赛、大学生职业生涯规划竞赛、“挑战杯”职业学校创新创效创业大赛指导不受限制。每个项目允许符合比赛要求的多位教师参与指导。具体由专业所在二级学院负责把关,特殊情况须提交教务处审核批准。参赛项目与专业不相关的，不计入专业业绩考核。</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黑体" w:hAnsi="黑体" w:eastAsia="黑体" w:cs="黑体fal"/>
          <w:color w:val="000000"/>
          <w:sz w:val="32"/>
          <w:szCs w:val="32"/>
          <w:lang w:val="en-US" w:eastAsia="zh-CN"/>
        </w:rPr>
        <w:t>第十五条</w:t>
      </w:r>
      <w:r>
        <w:rPr>
          <w:rFonts w:hint="eastAsia" w:ascii="仿宋_GB2312" w:hAnsi="仿宋" w:eastAsia="仿宋_GB2312" w:cs="仿宋"/>
          <w:color w:val="000000"/>
          <w:sz w:val="32"/>
          <w:szCs w:val="32"/>
          <w:lang w:val="en-US" w:eastAsia="zh-CN"/>
        </w:rPr>
        <w:t xml:space="preserve"> 竞赛结束后及时总结经验，各级别竞赛项目负责人提交“竞赛总结申报”流程。由教务处审核归档后核算相关教学业绩及奖励，学期结束前进行公示。</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rPr>
      </w:pPr>
      <w:r>
        <w:rPr>
          <w:rFonts w:hint="eastAsia" w:ascii="黑体" w:hAnsi="黑体" w:eastAsia="黑体" w:cs="黑体fal"/>
          <w:color w:val="000000"/>
          <w:sz w:val="32"/>
          <w:szCs w:val="32"/>
          <w:lang w:val="en-US" w:eastAsia="zh-CN"/>
        </w:rPr>
        <w:t>第十六条</w:t>
      </w:r>
      <w:r>
        <w:rPr>
          <w:rFonts w:hint="eastAsia" w:ascii="仿宋_GB2312" w:hAnsi="仿宋" w:eastAsia="仿宋_GB2312" w:cs="仿宋"/>
          <w:color w:val="000000"/>
          <w:sz w:val="32"/>
          <w:szCs w:val="32"/>
          <w:lang w:val="en-US" w:eastAsia="zh-CN"/>
        </w:rPr>
        <w:t xml:space="preserve"> </w:t>
      </w:r>
      <w:r>
        <w:rPr>
          <w:rFonts w:hint="eastAsia" w:ascii="仿宋_GB2312" w:hAnsi="仿宋" w:eastAsia="仿宋_GB2312" w:cs="仿宋"/>
          <w:snapToGrid w:val="0"/>
          <w:color w:val="000000"/>
          <w:kern w:val="0"/>
          <w:sz w:val="32"/>
          <w:szCs w:val="32"/>
          <w:highlight w:val="cyan"/>
        </w:rPr>
        <w:t>对于</w:t>
      </w:r>
      <w:r>
        <w:rPr>
          <w:rFonts w:hint="eastAsia" w:ascii="仿宋_GB2312" w:hAnsi="仿宋" w:eastAsia="仿宋_GB2312" w:cs="仿宋"/>
          <w:color w:val="000000"/>
          <w:sz w:val="32"/>
          <w:szCs w:val="44"/>
          <w:highlight w:val="cyan"/>
        </w:rPr>
        <w:t>赛项预报名抢占名额，实际又不积极组织参赛导致参赛名额浪费的</w:t>
      </w:r>
      <w:r>
        <w:rPr>
          <w:rFonts w:hint="eastAsia" w:ascii="仿宋_GB2312" w:hAnsi="仿宋" w:eastAsia="仿宋_GB2312" w:cs="仿宋"/>
          <w:color w:val="000000"/>
          <w:sz w:val="32"/>
          <w:szCs w:val="44"/>
          <w:highlight w:val="cyan"/>
          <w:lang w:val="en-US" w:eastAsia="zh-CN"/>
        </w:rPr>
        <w:t>学院</w:t>
      </w:r>
      <w:r>
        <w:rPr>
          <w:rFonts w:hint="eastAsia" w:ascii="仿宋_GB2312" w:hAnsi="仿宋" w:eastAsia="仿宋_GB2312" w:cs="仿宋"/>
          <w:color w:val="000000"/>
          <w:sz w:val="32"/>
          <w:szCs w:val="44"/>
          <w:highlight w:val="cyan"/>
        </w:rPr>
        <w:t>，核减下一年度该赛项的参赛名额或取消参赛资格。</w:t>
      </w:r>
      <w:r>
        <w:rPr>
          <w:rFonts w:hint="eastAsia" w:ascii="仿宋_GB2312" w:hAnsi="仿宋" w:eastAsia="仿宋_GB2312" w:cs="仿宋"/>
          <w:color w:val="000000"/>
          <w:sz w:val="32"/>
          <w:szCs w:val="32"/>
          <w:highlight w:val="cyan"/>
        </w:rPr>
        <w:t>代表学</w:t>
      </w:r>
      <w:r>
        <w:rPr>
          <w:rFonts w:hint="eastAsia" w:ascii="仿宋_GB2312" w:hAnsi="仿宋" w:eastAsia="仿宋_GB2312" w:cs="仿宋"/>
          <w:color w:val="000000"/>
          <w:sz w:val="32"/>
          <w:szCs w:val="32"/>
          <w:highlight w:val="cyan"/>
          <w:lang w:val="en-US" w:eastAsia="zh-CN"/>
        </w:rPr>
        <w:t>校</w:t>
      </w:r>
      <w:r>
        <w:rPr>
          <w:rFonts w:hint="eastAsia" w:ascii="仿宋_GB2312" w:hAnsi="仿宋" w:eastAsia="仿宋_GB2312" w:cs="仿宋"/>
          <w:color w:val="000000"/>
          <w:sz w:val="32"/>
          <w:szCs w:val="32"/>
          <w:highlight w:val="cyan"/>
        </w:rPr>
        <w:t>参赛的队员如在集训或比赛中途无故退出，教师无特殊原因拒绝担任指导工作或中途退出，两年内取消所有赛项的参赛指导资格。</w:t>
      </w:r>
    </w:p>
    <w:p>
      <w:pPr>
        <w:keepNext w:val="0"/>
        <w:keepLines w:val="0"/>
        <w:pageBreakBefore w:val="0"/>
        <w:kinsoku/>
        <w:wordWrap/>
        <w:overflowPunct/>
        <w:topLinePunct w:val="0"/>
        <w:autoSpaceDN/>
        <w:bidi w:val="0"/>
        <w:adjustRightInd/>
        <w:snapToGrid/>
        <w:spacing w:line="360" w:lineRule="auto"/>
        <w:jc w:val="center"/>
        <w:textAlignment w:val="auto"/>
        <w:rPr>
          <w:rFonts w:hint="eastAsia" w:ascii="黑体" w:hAnsi="黑体" w:eastAsia="黑体" w:cs="黑体fal"/>
          <w:color w:val="000000"/>
          <w:sz w:val="32"/>
          <w:szCs w:val="32"/>
          <w:lang w:val="en-US" w:eastAsia="zh-CN"/>
        </w:rPr>
      </w:pPr>
      <w:r>
        <w:rPr>
          <w:rFonts w:hint="eastAsia" w:ascii="黑体" w:hAnsi="黑体" w:eastAsia="黑体" w:cs="黑体fal"/>
          <w:color w:val="000000"/>
          <w:sz w:val="32"/>
          <w:szCs w:val="32"/>
          <w:lang w:val="en-US" w:eastAsia="zh-CN"/>
        </w:rPr>
        <w:t xml:space="preserve">第四章 </w:t>
      </w:r>
      <w:r>
        <w:rPr>
          <w:rFonts w:hint="eastAsia" w:ascii="黑体" w:hAnsi="黑体" w:eastAsia="黑体" w:cs="黑体fal"/>
          <w:color w:val="000000"/>
          <w:sz w:val="32"/>
          <w:szCs w:val="32"/>
        </w:rPr>
        <w:t>竞赛经费</w:t>
      </w:r>
      <w:r>
        <w:rPr>
          <w:rFonts w:hint="eastAsia" w:ascii="黑体" w:hAnsi="黑体" w:eastAsia="黑体" w:cs="黑体fal"/>
          <w:color w:val="000000"/>
          <w:sz w:val="32"/>
          <w:szCs w:val="32"/>
          <w:lang w:val="en-US" w:eastAsia="zh-CN"/>
        </w:rPr>
        <w:t>与奖励</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黑体" w:hAnsi="黑体" w:eastAsia="黑体" w:cs="黑体fal"/>
          <w:color w:val="000000"/>
          <w:sz w:val="32"/>
          <w:szCs w:val="32"/>
          <w:lang w:val="en-US" w:eastAsia="zh-CN"/>
        </w:rPr>
        <w:t xml:space="preserve">第十七条 </w:t>
      </w:r>
      <w:r>
        <w:rPr>
          <w:rFonts w:hint="eastAsia" w:ascii="仿宋_GB2312" w:hAnsi="仿宋" w:eastAsia="仿宋_GB2312" w:cs="仿宋"/>
          <w:color w:val="000000"/>
          <w:sz w:val="32"/>
          <w:szCs w:val="32"/>
          <w:lang w:val="en-US" w:eastAsia="zh-CN"/>
        </w:rPr>
        <w:t>为确保学生竞赛工作的顺利进行，学校每年安排学生竞赛专项经费，由教务处负责管理。</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仿宋_GB2312" w:hAnsi="仿宋" w:eastAsia="仿宋_GB2312" w:cs="仿宋"/>
          <w:color w:val="000000"/>
          <w:sz w:val="32"/>
          <w:szCs w:val="32"/>
          <w:lang w:val="en-US" w:eastAsia="zh-CN"/>
        </w:rPr>
        <w:t>（一）</w:t>
      </w:r>
      <w:r>
        <w:rPr>
          <w:rFonts w:hint="eastAsia" w:ascii="仿宋_GB2312" w:hAnsi="仿宋" w:eastAsia="仿宋_GB2312" w:cs="仿宋"/>
          <w:color w:val="000000"/>
          <w:sz w:val="32"/>
          <w:szCs w:val="32"/>
          <w:highlight w:val="cyan"/>
          <w:lang w:val="en-US" w:eastAsia="zh-CN"/>
        </w:rPr>
        <w:t>专项经费使用</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default" w:ascii="仿宋_GB2312" w:hAnsi="仿宋" w:eastAsia="仿宋_GB2312" w:cs="仿宋"/>
          <w:color w:val="000000"/>
          <w:sz w:val="32"/>
          <w:szCs w:val="32"/>
          <w:lang w:val="en-US" w:eastAsia="zh-CN"/>
        </w:rPr>
      </w:pPr>
      <w:r>
        <w:rPr>
          <w:rFonts w:hint="eastAsia" w:ascii="仿宋_GB2312" w:hAnsi="仿宋" w:eastAsia="仿宋_GB2312" w:cs="仿宋"/>
          <w:color w:val="000000"/>
          <w:sz w:val="32"/>
          <w:szCs w:val="32"/>
          <w:lang w:val="en-US" w:eastAsia="zh-CN"/>
        </w:rPr>
        <w:t>1.各级别</w:t>
      </w:r>
      <w:r>
        <w:rPr>
          <w:rFonts w:hint="eastAsia" w:ascii="仿宋_GB2312" w:hAnsi="仿宋" w:eastAsia="仿宋_GB2312" w:cs="仿宋"/>
          <w:color w:val="000000"/>
          <w:sz w:val="32"/>
          <w:szCs w:val="32"/>
          <w:highlight w:val="cyan"/>
          <w:lang w:val="en-US" w:eastAsia="zh-CN"/>
        </w:rPr>
        <w:t>技能竞赛、学科</w:t>
      </w:r>
      <w:r>
        <w:rPr>
          <w:rFonts w:hint="default" w:ascii="仿宋_GB2312" w:hAnsi="仿宋" w:eastAsia="仿宋_GB2312" w:cs="仿宋"/>
          <w:color w:val="000000"/>
          <w:sz w:val="32"/>
          <w:szCs w:val="32"/>
          <w:highlight w:val="cyan"/>
          <w:lang w:val="en-US" w:eastAsia="zh-CN"/>
        </w:rPr>
        <w:t>竞赛</w:t>
      </w:r>
      <w:r>
        <w:rPr>
          <w:rFonts w:hint="default" w:ascii="仿宋_GB2312" w:hAnsi="仿宋" w:eastAsia="仿宋_GB2312" w:cs="仿宋"/>
          <w:color w:val="000000"/>
          <w:sz w:val="32"/>
          <w:szCs w:val="32"/>
          <w:lang w:val="en-US" w:eastAsia="zh-CN"/>
        </w:rPr>
        <w:t>（不含“挑战杯” 全国大学生课外学术科技作品竞赛、中国大学生创业计划竞赛、中国国际“互联网+”大学生创新创业大赛、“挑战杯”职业学校创新创效创业大赛</w:t>
      </w:r>
      <w:r>
        <w:rPr>
          <w:rFonts w:hint="eastAsia" w:ascii="仿宋_GB2312" w:hAnsi="仿宋" w:eastAsia="仿宋_GB2312" w:cs="仿宋"/>
          <w:color w:val="000000"/>
          <w:sz w:val="32"/>
          <w:szCs w:val="32"/>
          <w:lang w:val="en-US" w:eastAsia="zh-CN"/>
        </w:rPr>
        <w:t>、</w:t>
      </w:r>
      <w:r>
        <w:rPr>
          <w:rFonts w:hint="default" w:ascii="仿宋_GB2312" w:hAnsi="仿宋" w:eastAsia="仿宋_GB2312" w:cs="仿宋"/>
          <w:color w:val="000000"/>
          <w:sz w:val="32"/>
          <w:szCs w:val="32"/>
          <w:lang w:val="en-US" w:eastAsia="zh-CN"/>
        </w:rPr>
        <w:t>大学生职业生涯规划竞赛）参赛费用，包括报名费、竞赛会务费、差旅费及专家指导费、训练耗材、学习交流等备赛相关费用</w:t>
      </w:r>
      <w:r>
        <w:rPr>
          <w:rFonts w:hint="eastAsia" w:ascii="仿宋_GB2312" w:hAnsi="仿宋" w:eastAsia="仿宋_GB2312" w:cs="仿宋"/>
          <w:color w:val="000000"/>
          <w:sz w:val="32"/>
          <w:szCs w:val="32"/>
          <w:lang w:val="en-US" w:eastAsia="zh-CN"/>
        </w:rPr>
        <w:t>由教务处审核，报学校主管领导审批执行，经费总金额不低于年度技能竞赛总预算的</w:t>
      </w:r>
      <w:r>
        <w:rPr>
          <w:rFonts w:hint="eastAsia" w:ascii="仿宋_GB2312" w:hAnsi="仿宋" w:eastAsia="仿宋_GB2312" w:cs="仿宋"/>
          <w:color w:val="000000"/>
          <w:sz w:val="32"/>
          <w:szCs w:val="32"/>
          <w:highlight w:val="cyan"/>
          <w:lang w:val="en-US" w:eastAsia="zh-CN"/>
        </w:rPr>
        <w:t>70%</w:t>
      </w:r>
      <w:r>
        <w:rPr>
          <w:rFonts w:hint="default" w:ascii="仿宋_GB2312" w:hAnsi="仿宋" w:eastAsia="仿宋_GB2312" w:cs="仿宋"/>
          <w:color w:val="000000"/>
          <w:sz w:val="32"/>
          <w:szCs w:val="32"/>
          <w:lang w:val="en-US" w:eastAsia="zh-CN"/>
        </w:rPr>
        <w:t>；</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仿宋_GB2312" w:hAnsi="仿宋" w:eastAsia="仿宋_GB2312" w:cs="仿宋"/>
          <w:color w:val="000000"/>
          <w:sz w:val="32"/>
          <w:szCs w:val="32"/>
          <w:lang w:val="en-US" w:eastAsia="zh-CN"/>
        </w:rPr>
        <w:t>2.</w:t>
      </w:r>
      <w:r>
        <w:rPr>
          <w:rFonts w:hint="eastAsia" w:ascii="仿宋_GB2312" w:hAnsi="仿宋" w:eastAsia="仿宋_GB2312" w:cs="仿宋"/>
          <w:color w:val="000000"/>
          <w:sz w:val="32"/>
          <w:szCs w:val="32"/>
          <w:highlight w:val="cyan"/>
          <w:lang w:val="en-US" w:eastAsia="zh-CN"/>
        </w:rPr>
        <w:t>其他竞赛项目</w:t>
      </w:r>
      <w:r>
        <w:rPr>
          <w:rFonts w:hint="eastAsia" w:ascii="仿宋_GB2312" w:hAnsi="仿宋" w:eastAsia="仿宋_GB2312" w:cs="仿宋"/>
          <w:color w:val="000000"/>
          <w:sz w:val="32"/>
          <w:szCs w:val="32"/>
          <w:lang w:val="en-US" w:eastAsia="zh-CN"/>
        </w:rPr>
        <w:t>参赛经费使用内容同技能竞赛及学科竞赛。由教务处根据年度预算总额按上一年度竞赛教学业绩分值比例分配至二级学院，该项经费比例不超过年度参赛</w:t>
      </w:r>
      <w:r>
        <w:rPr>
          <w:rFonts w:hint="eastAsia" w:ascii="仿宋_GB2312" w:hAnsi="仿宋" w:eastAsia="仿宋_GB2312" w:cs="仿宋"/>
          <w:color w:val="000000"/>
          <w:sz w:val="32"/>
          <w:szCs w:val="32"/>
          <w:highlight w:val="cyan"/>
          <w:lang w:val="en-US" w:eastAsia="zh-CN"/>
        </w:rPr>
        <w:t>总预算的30%</w:t>
      </w:r>
      <w:r>
        <w:rPr>
          <w:rFonts w:hint="eastAsia" w:ascii="仿宋_GB2312" w:hAnsi="仿宋" w:eastAsia="仿宋_GB2312" w:cs="仿宋"/>
          <w:color w:val="000000"/>
          <w:sz w:val="32"/>
          <w:szCs w:val="32"/>
          <w:lang w:val="en-US" w:eastAsia="zh-CN"/>
        </w:rPr>
        <w:t>。在一个竞赛年度中，参加</w:t>
      </w:r>
      <w:r>
        <w:rPr>
          <w:rFonts w:hint="eastAsia" w:ascii="仿宋_GB2312" w:hAnsi="仿宋" w:eastAsia="仿宋_GB2312" w:cs="仿宋"/>
          <w:bCs/>
          <w:color w:val="000000"/>
          <w:sz w:val="32"/>
          <w:szCs w:val="32"/>
          <w:lang w:val="en-US" w:eastAsia="zh-CN"/>
        </w:rPr>
        <w:t>高校综合考核认定的对口专业赛项数</w:t>
      </w:r>
      <w:r>
        <w:rPr>
          <w:rFonts w:hint="eastAsia" w:ascii="仿宋_GB2312" w:hAnsi="仿宋" w:eastAsia="仿宋_GB2312" w:cs="仿宋"/>
          <w:bCs/>
          <w:color w:val="000000"/>
          <w:sz w:val="32"/>
          <w:szCs w:val="32"/>
          <w:highlight w:val="cyan"/>
          <w:lang w:val="en-US" w:eastAsia="zh-CN"/>
        </w:rPr>
        <w:t>不足70%的</w:t>
      </w:r>
      <w:r>
        <w:rPr>
          <w:rFonts w:hint="eastAsia" w:ascii="仿宋_GB2312" w:hAnsi="仿宋" w:eastAsia="仿宋_GB2312" w:cs="仿宋"/>
          <w:color w:val="000000"/>
          <w:sz w:val="32"/>
          <w:szCs w:val="32"/>
          <w:highlight w:val="cyan"/>
          <w:lang w:val="en-US" w:eastAsia="zh-CN"/>
        </w:rPr>
        <w:t>二级学院，将停发下一年度</w:t>
      </w:r>
      <w:r>
        <w:rPr>
          <w:rFonts w:hint="eastAsia" w:ascii="仿宋_GB2312" w:hAnsi="仿宋" w:eastAsia="仿宋_GB2312" w:cs="仿宋"/>
          <w:color w:val="000000"/>
          <w:sz w:val="32"/>
          <w:szCs w:val="32"/>
          <w:lang w:val="en-US" w:eastAsia="zh-CN"/>
        </w:rPr>
        <w:t>其他竞赛项目参赛经费；</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default" w:ascii="仿宋_GB2312" w:hAnsi="仿宋" w:eastAsia="仿宋_GB2312" w:cs="仿宋"/>
          <w:color w:val="000000"/>
          <w:sz w:val="32"/>
          <w:szCs w:val="32"/>
          <w:lang w:val="en-US" w:eastAsia="zh-CN"/>
        </w:rPr>
      </w:pPr>
      <w:r>
        <w:rPr>
          <w:rFonts w:hint="eastAsia" w:ascii="仿宋_GB2312" w:hAnsi="仿宋" w:eastAsia="仿宋_GB2312" w:cs="仿宋"/>
          <w:color w:val="000000"/>
          <w:sz w:val="32"/>
          <w:szCs w:val="32"/>
          <w:lang w:val="en-US" w:eastAsia="zh-CN"/>
        </w:rPr>
        <w:t>3.职业生涯规划、“挑战杯”、“互联网+”创新创业等竞赛由竞赛主管部门自行申报竞赛经费年度预算。</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黑体" w:hAnsi="黑体" w:eastAsia="黑体" w:cs="黑体fal"/>
          <w:color w:val="000000"/>
          <w:sz w:val="32"/>
          <w:szCs w:val="32"/>
          <w:lang w:val="en-US" w:eastAsia="zh-CN"/>
        </w:rPr>
        <w:t>第十八条</w:t>
      </w:r>
      <w:r>
        <w:rPr>
          <w:rFonts w:hint="eastAsia" w:ascii="仿宋_GB2312" w:hAnsi="仿宋" w:eastAsia="仿宋_GB2312" w:cs="仿宋"/>
          <w:color w:val="000000"/>
          <w:sz w:val="32"/>
          <w:szCs w:val="32"/>
          <w:lang w:val="en-US" w:eastAsia="zh-CN"/>
        </w:rPr>
        <w:t xml:space="preserve"> 参加、承办高校综合考核认定赛项，专用教学仪器设备原则上列入年度学校教学仪器设备购置项目。确属难以提前做出预算和计划的，须经教务处审核、报学院领导审批。</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rPr>
      </w:pPr>
      <w:r>
        <w:rPr>
          <w:rFonts w:hint="eastAsia" w:ascii="黑体" w:hAnsi="黑体" w:eastAsia="黑体" w:cs="黑体fal"/>
          <w:color w:val="000000"/>
          <w:sz w:val="32"/>
          <w:szCs w:val="32"/>
          <w:lang w:val="en-US" w:eastAsia="zh-CN"/>
        </w:rPr>
        <w:t>第十九条</w:t>
      </w:r>
      <w:r>
        <w:rPr>
          <w:rFonts w:hint="eastAsia" w:ascii="仿宋_GB2312" w:hAnsi="仿宋" w:eastAsia="仿宋_GB2312" w:cs="仿宋"/>
          <w:color w:val="000000"/>
          <w:sz w:val="32"/>
          <w:szCs w:val="32"/>
          <w:lang w:val="en-US" w:eastAsia="zh-CN"/>
        </w:rPr>
        <w:t xml:space="preserve"> </w:t>
      </w:r>
      <w:r>
        <w:rPr>
          <w:rFonts w:hint="eastAsia" w:ascii="仿宋_GB2312" w:hAnsi="仿宋" w:eastAsia="仿宋_GB2312" w:cs="仿宋"/>
          <w:color w:val="000000"/>
          <w:sz w:val="32"/>
          <w:szCs w:val="44"/>
        </w:rPr>
        <w:t>参赛人数达</w:t>
      </w:r>
      <w:r>
        <w:rPr>
          <w:rFonts w:ascii="仿宋_GB2312" w:hAnsi="仿宋" w:eastAsia="仿宋_GB2312" w:cs="仿宋"/>
          <w:color w:val="000000"/>
          <w:sz w:val="32"/>
          <w:szCs w:val="44"/>
        </w:rPr>
        <w:t>15</w:t>
      </w:r>
      <w:r>
        <w:rPr>
          <w:rFonts w:hint="eastAsia" w:ascii="仿宋_GB2312" w:hAnsi="仿宋" w:eastAsia="仿宋_GB2312" w:cs="仿宋"/>
          <w:color w:val="000000"/>
          <w:sz w:val="32"/>
          <w:szCs w:val="44"/>
        </w:rPr>
        <w:t>人及以上或携带大型参赛设备的，由赛项负责</w:t>
      </w:r>
      <w:r>
        <w:rPr>
          <w:rFonts w:hint="eastAsia" w:ascii="仿宋_GB2312" w:hAnsi="仿宋" w:eastAsia="仿宋_GB2312" w:cs="仿宋"/>
          <w:color w:val="000000"/>
          <w:sz w:val="32"/>
          <w:szCs w:val="44"/>
          <w:lang w:val="en-US" w:eastAsia="zh-CN"/>
        </w:rPr>
        <w:t>学院</w:t>
      </w:r>
      <w:r>
        <w:rPr>
          <w:rFonts w:hint="eastAsia" w:ascii="仿宋_GB2312" w:hAnsi="仿宋" w:eastAsia="仿宋_GB2312" w:cs="仿宋"/>
          <w:color w:val="000000"/>
          <w:sz w:val="32"/>
          <w:szCs w:val="44"/>
        </w:rPr>
        <w:t>提出申请，教务处审核，党院办负责协调安排车辆，费用由</w:t>
      </w:r>
      <w:r>
        <w:rPr>
          <w:rFonts w:hint="eastAsia" w:ascii="仿宋_GB2312" w:hAnsi="仿宋" w:eastAsia="仿宋_GB2312" w:cs="仿宋"/>
          <w:color w:val="000000"/>
          <w:sz w:val="32"/>
          <w:szCs w:val="32"/>
        </w:rPr>
        <w:t>科技竞赛专项经费支出。</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黑体" w:hAnsi="黑体" w:eastAsia="黑体" w:cs="黑体fal"/>
          <w:color w:val="000000"/>
          <w:sz w:val="32"/>
          <w:szCs w:val="32"/>
          <w:lang w:val="en-US" w:eastAsia="zh-CN"/>
        </w:rPr>
        <w:t>第二十条</w:t>
      </w:r>
      <w:r>
        <w:rPr>
          <w:rFonts w:hint="eastAsia" w:ascii="仿宋_GB2312" w:hAnsi="仿宋" w:eastAsia="仿宋_GB2312" w:cs="仿宋"/>
          <w:color w:val="000000"/>
          <w:sz w:val="32"/>
          <w:szCs w:val="32"/>
          <w:lang w:val="en-US" w:eastAsia="zh-CN"/>
        </w:rPr>
        <w:t xml:space="preserve"> 需在寒暑假训练的竞赛项目，报教务处审核，学生在训练期间根据考勤情况给予一定的餐费补助，其餐费标准参照计财处相关文件执行。</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黑体" w:hAnsi="黑体" w:eastAsia="黑体" w:cs="黑体fal"/>
          <w:color w:val="000000"/>
          <w:sz w:val="32"/>
          <w:szCs w:val="32"/>
          <w:lang w:val="en-US" w:eastAsia="zh-CN"/>
        </w:rPr>
        <w:t>第二十一条</w:t>
      </w:r>
      <w:r>
        <w:rPr>
          <w:rFonts w:hint="eastAsia" w:ascii="仿宋_GB2312" w:hAnsi="仿宋" w:eastAsia="仿宋_GB2312" w:cs="仿宋"/>
          <w:color w:val="000000"/>
          <w:sz w:val="32"/>
          <w:szCs w:val="32"/>
          <w:lang w:val="en-US" w:eastAsia="zh-CN"/>
        </w:rPr>
        <w:t xml:space="preserve"> 跨部门联合组队参加同一赛项的，对组织竞赛的人员补助300元。</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黑体" w:hAnsi="黑体" w:eastAsia="黑体" w:cs="黑体fal"/>
          <w:color w:val="000000"/>
          <w:sz w:val="32"/>
          <w:szCs w:val="32"/>
          <w:lang w:val="en-US" w:eastAsia="zh-CN"/>
        </w:rPr>
        <w:t>第二十二条</w:t>
      </w:r>
      <w:r>
        <w:rPr>
          <w:rFonts w:hint="eastAsia" w:ascii="仿宋_GB2312" w:hAnsi="仿宋" w:eastAsia="仿宋_GB2312" w:cs="仿宋"/>
          <w:color w:val="000000"/>
          <w:sz w:val="32"/>
          <w:szCs w:val="32"/>
          <w:lang w:val="en-US" w:eastAsia="zh-CN"/>
        </w:rPr>
        <w:t xml:space="preserve"> 竞赛指导教师奖励参照《温州职业技术学院教学建设与研究业绩计分及奖励标准》文件执行。其中，</w:t>
      </w:r>
      <w:r>
        <w:rPr>
          <w:rFonts w:hint="eastAsia" w:ascii="仿宋_GB2312" w:hAnsi="仿宋" w:eastAsia="仿宋_GB2312" w:cs="仿宋"/>
          <w:color w:val="000000"/>
          <w:sz w:val="32"/>
          <w:szCs w:val="32"/>
          <w:highlight w:val="cyan"/>
          <w:lang w:val="en-US" w:eastAsia="zh-CN"/>
        </w:rPr>
        <w:t>技能竞赛参照“全国职业院校技能竞赛项目”；学科竞赛参照“大学生科技竞赛委员会认定的竞赛项目”；其他竞赛参照“非大学生科技竞赛委员会认定的国家级、省级、市级竞赛项目，职业院校技能竞赛项目中的自设省赛项目，其他国际性竞赛项目”</w:t>
      </w:r>
      <w:r>
        <w:rPr>
          <w:rFonts w:hint="eastAsia" w:ascii="仿宋_GB2312" w:hAnsi="仿宋" w:eastAsia="仿宋_GB2312" w:cs="仿宋"/>
          <w:color w:val="000000"/>
          <w:sz w:val="32"/>
          <w:szCs w:val="32"/>
          <w:lang w:val="en-US" w:eastAsia="zh-CN"/>
        </w:rPr>
        <w:t>进行奖励，市级竞赛参照该类型省级奖励计分。</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黑体" w:hAnsi="黑体" w:eastAsia="黑体" w:cs="黑体fal"/>
          <w:color w:val="000000"/>
          <w:sz w:val="32"/>
          <w:szCs w:val="32"/>
          <w:lang w:val="en-US" w:eastAsia="zh-CN"/>
        </w:rPr>
        <w:t>第二十三条</w:t>
      </w:r>
      <w:r>
        <w:rPr>
          <w:rFonts w:hint="eastAsia" w:ascii="仿宋_GB2312" w:hAnsi="仿宋" w:eastAsia="仿宋_GB2312" w:cs="仿宋"/>
          <w:color w:val="000000"/>
          <w:sz w:val="32"/>
          <w:szCs w:val="32"/>
          <w:lang w:val="en-US" w:eastAsia="zh-CN"/>
        </w:rPr>
        <w:t xml:space="preserve"> 竞赛如设特等奖，则奖项比照一等奖次，其余依次类推，其他各种奖励名称的对应标准类别见表1。</w:t>
      </w:r>
    </w:p>
    <w:p>
      <w:pPr>
        <w:keepNext w:val="0"/>
        <w:keepLines w:val="0"/>
        <w:pageBreakBefore w:val="0"/>
        <w:kinsoku/>
        <w:wordWrap/>
        <w:overflowPunct/>
        <w:topLinePunct w:val="0"/>
        <w:autoSpaceDN/>
        <w:bidi w:val="0"/>
        <w:adjustRightInd/>
        <w:snapToGrid/>
        <w:spacing w:line="360" w:lineRule="auto"/>
        <w:jc w:val="center"/>
        <w:textAlignment w:val="auto"/>
        <w:rPr>
          <w:rFonts w:ascii="黑体" w:hAnsi="黑体" w:eastAsia="黑体"/>
          <w:color w:val="000000"/>
          <w:sz w:val="22"/>
          <w:szCs w:val="22"/>
        </w:rPr>
      </w:pPr>
      <w:r>
        <w:rPr>
          <w:rFonts w:hint="eastAsia" w:ascii="黑体" w:hAnsi="黑体" w:eastAsia="黑体"/>
          <w:color w:val="000000"/>
          <w:sz w:val="22"/>
          <w:szCs w:val="22"/>
        </w:rPr>
        <w:t>表</w:t>
      </w:r>
      <w:r>
        <w:rPr>
          <w:rFonts w:hint="eastAsia" w:ascii="黑体" w:hAnsi="黑体" w:eastAsia="黑体"/>
          <w:color w:val="000000"/>
          <w:sz w:val="22"/>
          <w:szCs w:val="22"/>
          <w:lang w:val="en-US" w:eastAsia="zh-CN"/>
        </w:rPr>
        <w:t>1</w:t>
      </w:r>
      <w:r>
        <w:rPr>
          <w:rFonts w:ascii="黑体" w:hAnsi="黑体" w:eastAsia="黑体"/>
          <w:color w:val="000000"/>
          <w:sz w:val="22"/>
          <w:szCs w:val="22"/>
        </w:rPr>
        <w:t xml:space="preserve"> </w:t>
      </w:r>
      <w:r>
        <w:rPr>
          <w:rFonts w:hint="eastAsia" w:ascii="黑体" w:hAnsi="黑体" w:eastAsia="黑体"/>
          <w:color w:val="000000"/>
          <w:sz w:val="22"/>
          <w:szCs w:val="22"/>
        </w:rPr>
        <w:t>各种证书奖励名称的对应标准类别</w:t>
      </w:r>
    </w:p>
    <w:tbl>
      <w:tblPr>
        <w:tblStyle w:val="5"/>
        <w:tblW w:w="81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7"/>
        <w:gridCol w:w="930"/>
        <w:gridCol w:w="1020"/>
        <w:gridCol w:w="1215"/>
        <w:gridCol w:w="2010"/>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737" w:type="dxa"/>
            <w:noWrap w:val="0"/>
            <w:vAlign w:val="center"/>
          </w:tcPr>
          <w:p>
            <w:pPr>
              <w:keepNext w:val="0"/>
              <w:keepLines w:val="0"/>
              <w:pageBreakBefore w:val="0"/>
              <w:widowControl/>
              <w:kinsoku/>
              <w:wordWrap/>
              <w:overflowPunct/>
              <w:topLinePunct w:val="0"/>
              <w:autoSpaceDE w:val="0"/>
              <w:autoSpaceDN/>
              <w:bidi w:val="0"/>
              <w:adjustRightInd/>
              <w:snapToGrid/>
              <w:spacing w:line="240" w:lineRule="auto"/>
              <w:jc w:val="center"/>
              <w:textAlignment w:val="auto"/>
              <w:rPr>
                <w:rFonts w:ascii="仿宋_GB2312" w:eastAsia="仿宋_GB2312"/>
                <w:color w:val="000000"/>
                <w:szCs w:val="21"/>
              </w:rPr>
            </w:pPr>
            <w:r>
              <w:rPr>
                <w:rFonts w:hint="eastAsia" w:ascii="仿宋_GB2312" w:eastAsia="仿宋_GB2312"/>
                <w:color w:val="000000"/>
                <w:szCs w:val="21"/>
              </w:rPr>
              <w:t>对应标准类别</w:t>
            </w:r>
          </w:p>
        </w:tc>
        <w:tc>
          <w:tcPr>
            <w:tcW w:w="6375" w:type="dxa"/>
            <w:gridSpan w:val="5"/>
            <w:noWrap w:val="0"/>
            <w:vAlign w:val="center"/>
          </w:tcPr>
          <w:p>
            <w:pPr>
              <w:keepNext w:val="0"/>
              <w:keepLines w:val="0"/>
              <w:pageBreakBefore w:val="0"/>
              <w:widowControl/>
              <w:kinsoku/>
              <w:wordWrap/>
              <w:overflowPunct/>
              <w:topLinePunct w:val="0"/>
              <w:autoSpaceDE w:val="0"/>
              <w:autoSpaceDN/>
              <w:bidi w:val="0"/>
              <w:adjustRightInd/>
              <w:snapToGrid/>
              <w:spacing w:line="240" w:lineRule="auto"/>
              <w:jc w:val="center"/>
              <w:textAlignment w:val="auto"/>
              <w:rPr>
                <w:rFonts w:ascii="仿宋_GB2312" w:eastAsia="仿宋_GB2312"/>
                <w:color w:val="000000"/>
                <w:szCs w:val="21"/>
              </w:rPr>
            </w:pPr>
            <w:r>
              <w:rPr>
                <w:rFonts w:hint="eastAsia" w:ascii="仿宋_GB2312" w:eastAsia="仿宋_GB2312"/>
                <w:color w:val="000000"/>
                <w:szCs w:val="21"/>
              </w:rPr>
              <w:t>证书奖励名称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737" w:type="dxa"/>
            <w:noWrap w:val="0"/>
            <w:vAlign w:val="center"/>
          </w:tcPr>
          <w:p>
            <w:pPr>
              <w:keepNext w:val="0"/>
              <w:keepLines w:val="0"/>
              <w:pageBreakBefore w:val="0"/>
              <w:widowControl/>
              <w:kinsoku/>
              <w:wordWrap/>
              <w:overflowPunct/>
              <w:topLinePunct w:val="0"/>
              <w:autoSpaceDE w:val="0"/>
              <w:autoSpaceDN/>
              <w:bidi w:val="0"/>
              <w:adjustRightInd/>
              <w:snapToGrid/>
              <w:spacing w:line="240" w:lineRule="auto"/>
              <w:jc w:val="center"/>
              <w:textAlignment w:val="auto"/>
              <w:rPr>
                <w:rFonts w:ascii="仿宋_GB2312" w:eastAsia="仿宋_GB2312"/>
                <w:color w:val="000000"/>
                <w:szCs w:val="21"/>
              </w:rPr>
            </w:pPr>
            <w:r>
              <w:rPr>
                <w:rFonts w:hint="eastAsia" w:ascii="仿宋_GB2312" w:eastAsia="仿宋_GB2312"/>
                <w:color w:val="000000"/>
                <w:szCs w:val="21"/>
              </w:rPr>
              <w:t>一等奖次</w:t>
            </w:r>
          </w:p>
        </w:tc>
        <w:tc>
          <w:tcPr>
            <w:tcW w:w="930" w:type="dxa"/>
            <w:noWrap w:val="0"/>
            <w:vAlign w:val="center"/>
          </w:tcPr>
          <w:p>
            <w:pPr>
              <w:keepNext w:val="0"/>
              <w:keepLines w:val="0"/>
              <w:pageBreakBefore w:val="0"/>
              <w:widowControl/>
              <w:kinsoku/>
              <w:wordWrap/>
              <w:overflowPunct/>
              <w:topLinePunct w:val="0"/>
              <w:autoSpaceDE w:val="0"/>
              <w:autoSpaceDN/>
              <w:bidi w:val="0"/>
              <w:adjustRightInd/>
              <w:snapToGrid/>
              <w:spacing w:line="240" w:lineRule="auto"/>
              <w:jc w:val="center"/>
              <w:textAlignment w:val="auto"/>
              <w:rPr>
                <w:rFonts w:ascii="仿宋_GB2312" w:eastAsia="仿宋_GB2312"/>
                <w:color w:val="000000"/>
                <w:szCs w:val="21"/>
              </w:rPr>
            </w:pPr>
            <w:r>
              <w:rPr>
                <w:rFonts w:hint="eastAsia" w:ascii="仿宋_GB2312" w:eastAsia="仿宋_GB2312"/>
                <w:color w:val="000000"/>
                <w:szCs w:val="21"/>
              </w:rPr>
              <w:t>特等奖</w:t>
            </w:r>
          </w:p>
        </w:tc>
        <w:tc>
          <w:tcPr>
            <w:tcW w:w="1020" w:type="dxa"/>
            <w:noWrap w:val="0"/>
            <w:vAlign w:val="center"/>
          </w:tcPr>
          <w:p>
            <w:pPr>
              <w:keepNext w:val="0"/>
              <w:keepLines w:val="0"/>
              <w:pageBreakBefore w:val="0"/>
              <w:widowControl/>
              <w:kinsoku/>
              <w:wordWrap/>
              <w:overflowPunct/>
              <w:topLinePunct w:val="0"/>
              <w:autoSpaceDE w:val="0"/>
              <w:autoSpaceDN/>
              <w:bidi w:val="0"/>
              <w:adjustRightInd/>
              <w:snapToGrid/>
              <w:spacing w:line="240" w:lineRule="auto"/>
              <w:jc w:val="center"/>
              <w:textAlignment w:val="auto"/>
              <w:rPr>
                <w:rFonts w:ascii="仿宋_GB2312" w:eastAsia="仿宋_GB2312"/>
                <w:color w:val="000000"/>
                <w:szCs w:val="21"/>
              </w:rPr>
            </w:pPr>
            <w:r>
              <w:rPr>
                <w:rFonts w:hint="eastAsia" w:ascii="仿宋_GB2312" w:eastAsia="仿宋_GB2312"/>
                <w:color w:val="000000"/>
                <w:szCs w:val="21"/>
              </w:rPr>
              <w:t>一等奖</w:t>
            </w:r>
          </w:p>
        </w:tc>
        <w:tc>
          <w:tcPr>
            <w:tcW w:w="1215" w:type="dxa"/>
            <w:noWrap w:val="0"/>
            <w:vAlign w:val="center"/>
          </w:tcPr>
          <w:p>
            <w:pPr>
              <w:keepNext w:val="0"/>
              <w:keepLines w:val="0"/>
              <w:pageBreakBefore w:val="0"/>
              <w:widowControl/>
              <w:kinsoku/>
              <w:wordWrap/>
              <w:overflowPunct/>
              <w:topLinePunct w:val="0"/>
              <w:autoSpaceDE w:val="0"/>
              <w:autoSpaceDN/>
              <w:bidi w:val="0"/>
              <w:adjustRightInd/>
              <w:snapToGrid/>
              <w:spacing w:line="240" w:lineRule="auto"/>
              <w:jc w:val="center"/>
              <w:textAlignment w:val="auto"/>
              <w:rPr>
                <w:rFonts w:ascii="仿宋_GB2312" w:eastAsia="仿宋_GB2312"/>
                <w:color w:val="000000"/>
                <w:szCs w:val="21"/>
              </w:rPr>
            </w:pPr>
            <w:r>
              <w:rPr>
                <w:rFonts w:hint="eastAsia" w:ascii="仿宋_GB2312" w:eastAsia="仿宋_GB2312"/>
                <w:color w:val="000000"/>
                <w:szCs w:val="21"/>
              </w:rPr>
              <w:t>冠军</w:t>
            </w:r>
          </w:p>
        </w:tc>
        <w:tc>
          <w:tcPr>
            <w:tcW w:w="2010" w:type="dxa"/>
            <w:noWrap w:val="0"/>
            <w:vAlign w:val="center"/>
          </w:tcPr>
          <w:p>
            <w:pPr>
              <w:keepNext w:val="0"/>
              <w:keepLines w:val="0"/>
              <w:pageBreakBefore w:val="0"/>
              <w:widowControl/>
              <w:kinsoku/>
              <w:wordWrap/>
              <w:overflowPunct/>
              <w:topLinePunct w:val="0"/>
              <w:autoSpaceDE w:val="0"/>
              <w:autoSpaceDN/>
              <w:bidi w:val="0"/>
              <w:adjustRightInd/>
              <w:snapToGrid/>
              <w:spacing w:line="240" w:lineRule="auto"/>
              <w:jc w:val="center"/>
              <w:textAlignment w:val="auto"/>
              <w:rPr>
                <w:rFonts w:ascii="仿宋_GB2312" w:eastAsia="仿宋_GB2312"/>
                <w:color w:val="000000"/>
                <w:szCs w:val="21"/>
              </w:rPr>
            </w:pPr>
            <w:r>
              <w:rPr>
                <w:rFonts w:hint="eastAsia" w:ascii="仿宋_GB2312" w:eastAsia="仿宋_GB2312"/>
                <w:color w:val="000000"/>
                <w:szCs w:val="21"/>
              </w:rPr>
              <w:t>第</w:t>
            </w:r>
            <w:r>
              <w:rPr>
                <w:rFonts w:ascii="仿宋_GB2312" w:eastAsia="仿宋_GB2312"/>
                <w:color w:val="000000"/>
                <w:szCs w:val="21"/>
              </w:rPr>
              <w:t>1</w:t>
            </w:r>
            <w:r>
              <w:rPr>
                <w:rFonts w:hint="eastAsia" w:ascii="仿宋_GB2312" w:eastAsia="仿宋_GB2312"/>
                <w:color w:val="000000"/>
                <w:szCs w:val="21"/>
              </w:rPr>
              <w:t>名</w:t>
            </w:r>
          </w:p>
        </w:tc>
        <w:tc>
          <w:tcPr>
            <w:tcW w:w="1200" w:type="dxa"/>
            <w:noWrap w:val="0"/>
            <w:vAlign w:val="center"/>
          </w:tcPr>
          <w:p>
            <w:pPr>
              <w:keepNext w:val="0"/>
              <w:keepLines w:val="0"/>
              <w:pageBreakBefore w:val="0"/>
              <w:widowControl/>
              <w:kinsoku/>
              <w:wordWrap/>
              <w:overflowPunct/>
              <w:topLinePunct w:val="0"/>
              <w:autoSpaceDE w:val="0"/>
              <w:autoSpaceDN/>
              <w:bidi w:val="0"/>
              <w:adjustRightInd/>
              <w:snapToGrid/>
              <w:spacing w:line="240" w:lineRule="auto"/>
              <w:jc w:val="center"/>
              <w:textAlignment w:val="auto"/>
              <w:rPr>
                <w:rFonts w:ascii="仿宋_GB2312" w:eastAsia="仿宋_GB2312"/>
                <w:color w:val="000000"/>
                <w:szCs w:val="21"/>
              </w:rPr>
            </w:pPr>
            <w:r>
              <w:rPr>
                <w:rFonts w:hint="eastAsia" w:ascii="仿宋_GB2312" w:eastAsia="仿宋_GB2312"/>
                <w:color w:val="000000"/>
                <w:szCs w:val="21"/>
              </w:rPr>
              <w:t>金奖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737" w:type="dxa"/>
            <w:noWrap w:val="0"/>
            <w:vAlign w:val="center"/>
          </w:tcPr>
          <w:p>
            <w:pPr>
              <w:keepNext w:val="0"/>
              <w:keepLines w:val="0"/>
              <w:pageBreakBefore w:val="0"/>
              <w:widowControl/>
              <w:kinsoku/>
              <w:wordWrap/>
              <w:overflowPunct/>
              <w:topLinePunct w:val="0"/>
              <w:autoSpaceDE w:val="0"/>
              <w:autoSpaceDN/>
              <w:bidi w:val="0"/>
              <w:adjustRightInd/>
              <w:snapToGrid/>
              <w:spacing w:line="240" w:lineRule="auto"/>
              <w:jc w:val="center"/>
              <w:textAlignment w:val="auto"/>
              <w:rPr>
                <w:rFonts w:ascii="仿宋_GB2312" w:eastAsia="仿宋_GB2312"/>
                <w:color w:val="000000"/>
                <w:szCs w:val="21"/>
              </w:rPr>
            </w:pPr>
            <w:r>
              <w:rPr>
                <w:rFonts w:hint="eastAsia" w:ascii="仿宋_GB2312" w:eastAsia="仿宋_GB2312"/>
                <w:color w:val="000000"/>
                <w:szCs w:val="21"/>
              </w:rPr>
              <w:t>二等奖次</w:t>
            </w:r>
          </w:p>
        </w:tc>
        <w:tc>
          <w:tcPr>
            <w:tcW w:w="930" w:type="dxa"/>
            <w:noWrap w:val="0"/>
            <w:vAlign w:val="center"/>
          </w:tcPr>
          <w:p>
            <w:pPr>
              <w:keepNext w:val="0"/>
              <w:keepLines w:val="0"/>
              <w:pageBreakBefore w:val="0"/>
              <w:widowControl/>
              <w:kinsoku/>
              <w:wordWrap/>
              <w:overflowPunct/>
              <w:topLinePunct w:val="0"/>
              <w:autoSpaceDE w:val="0"/>
              <w:autoSpaceDN/>
              <w:bidi w:val="0"/>
              <w:adjustRightInd/>
              <w:snapToGrid/>
              <w:spacing w:line="240" w:lineRule="auto"/>
              <w:jc w:val="center"/>
              <w:textAlignment w:val="auto"/>
              <w:rPr>
                <w:rFonts w:ascii="仿宋_GB2312" w:eastAsia="仿宋_GB2312"/>
                <w:color w:val="000000"/>
                <w:szCs w:val="21"/>
              </w:rPr>
            </w:pPr>
            <w:r>
              <w:rPr>
                <w:rFonts w:hint="eastAsia" w:ascii="仿宋_GB2312" w:eastAsia="仿宋_GB2312"/>
                <w:color w:val="000000"/>
                <w:szCs w:val="21"/>
              </w:rPr>
              <w:t>一等奖</w:t>
            </w:r>
          </w:p>
        </w:tc>
        <w:tc>
          <w:tcPr>
            <w:tcW w:w="1020" w:type="dxa"/>
            <w:noWrap w:val="0"/>
            <w:vAlign w:val="center"/>
          </w:tcPr>
          <w:p>
            <w:pPr>
              <w:keepNext w:val="0"/>
              <w:keepLines w:val="0"/>
              <w:pageBreakBefore w:val="0"/>
              <w:widowControl/>
              <w:kinsoku/>
              <w:wordWrap/>
              <w:overflowPunct/>
              <w:topLinePunct w:val="0"/>
              <w:autoSpaceDE w:val="0"/>
              <w:autoSpaceDN/>
              <w:bidi w:val="0"/>
              <w:adjustRightInd/>
              <w:snapToGrid/>
              <w:spacing w:line="240" w:lineRule="auto"/>
              <w:jc w:val="center"/>
              <w:textAlignment w:val="auto"/>
              <w:rPr>
                <w:rFonts w:ascii="仿宋_GB2312" w:eastAsia="仿宋_GB2312"/>
                <w:color w:val="000000"/>
                <w:szCs w:val="21"/>
              </w:rPr>
            </w:pPr>
            <w:r>
              <w:rPr>
                <w:rFonts w:hint="eastAsia" w:ascii="仿宋_GB2312" w:eastAsia="仿宋_GB2312"/>
                <w:color w:val="000000"/>
                <w:szCs w:val="21"/>
              </w:rPr>
              <w:t>二等奖</w:t>
            </w:r>
          </w:p>
        </w:tc>
        <w:tc>
          <w:tcPr>
            <w:tcW w:w="1215" w:type="dxa"/>
            <w:noWrap w:val="0"/>
            <w:vAlign w:val="center"/>
          </w:tcPr>
          <w:p>
            <w:pPr>
              <w:keepNext w:val="0"/>
              <w:keepLines w:val="0"/>
              <w:pageBreakBefore w:val="0"/>
              <w:widowControl/>
              <w:kinsoku/>
              <w:wordWrap/>
              <w:overflowPunct/>
              <w:topLinePunct w:val="0"/>
              <w:autoSpaceDE w:val="0"/>
              <w:autoSpaceDN/>
              <w:bidi w:val="0"/>
              <w:adjustRightInd/>
              <w:snapToGrid/>
              <w:spacing w:line="240" w:lineRule="auto"/>
              <w:jc w:val="center"/>
              <w:textAlignment w:val="auto"/>
              <w:rPr>
                <w:rFonts w:ascii="仿宋_GB2312" w:eastAsia="仿宋_GB2312"/>
                <w:color w:val="000000"/>
                <w:szCs w:val="21"/>
              </w:rPr>
            </w:pPr>
            <w:r>
              <w:rPr>
                <w:rFonts w:hint="eastAsia" w:ascii="仿宋_GB2312" w:eastAsia="仿宋_GB2312"/>
                <w:color w:val="000000"/>
                <w:szCs w:val="21"/>
              </w:rPr>
              <w:t>亚军</w:t>
            </w:r>
          </w:p>
        </w:tc>
        <w:tc>
          <w:tcPr>
            <w:tcW w:w="2010" w:type="dxa"/>
            <w:noWrap w:val="0"/>
            <w:vAlign w:val="center"/>
          </w:tcPr>
          <w:p>
            <w:pPr>
              <w:keepNext w:val="0"/>
              <w:keepLines w:val="0"/>
              <w:pageBreakBefore w:val="0"/>
              <w:widowControl/>
              <w:kinsoku/>
              <w:wordWrap/>
              <w:overflowPunct/>
              <w:topLinePunct w:val="0"/>
              <w:autoSpaceDE w:val="0"/>
              <w:autoSpaceDN/>
              <w:bidi w:val="0"/>
              <w:adjustRightInd/>
              <w:snapToGrid/>
              <w:spacing w:line="240" w:lineRule="auto"/>
              <w:jc w:val="center"/>
              <w:textAlignment w:val="auto"/>
              <w:rPr>
                <w:rFonts w:ascii="仿宋_GB2312" w:eastAsia="仿宋_GB2312"/>
                <w:color w:val="000000"/>
                <w:szCs w:val="21"/>
              </w:rPr>
            </w:pPr>
            <w:r>
              <w:rPr>
                <w:rFonts w:hint="eastAsia" w:ascii="仿宋_GB2312" w:eastAsia="仿宋_GB2312"/>
                <w:color w:val="000000"/>
                <w:szCs w:val="21"/>
              </w:rPr>
              <w:t>第</w:t>
            </w:r>
            <w:r>
              <w:rPr>
                <w:rFonts w:ascii="仿宋_GB2312" w:eastAsia="仿宋_GB2312"/>
                <w:color w:val="000000"/>
                <w:szCs w:val="21"/>
              </w:rPr>
              <w:t>2</w:t>
            </w:r>
            <w:r>
              <w:rPr>
                <w:rFonts w:hint="eastAsia" w:ascii="仿宋_GB2312" w:eastAsia="仿宋_GB2312"/>
                <w:color w:val="000000"/>
                <w:szCs w:val="21"/>
              </w:rPr>
              <w:t>、</w:t>
            </w:r>
            <w:r>
              <w:rPr>
                <w:rFonts w:ascii="仿宋_GB2312" w:eastAsia="仿宋_GB2312"/>
                <w:color w:val="000000"/>
                <w:szCs w:val="21"/>
              </w:rPr>
              <w:t>3</w:t>
            </w:r>
            <w:r>
              <w:rPr>
                <w:rFonts w:hint="eastAsia" w:ascii="仿宋_GB2312" w:eastAsia="仿宋_GB2312"/>
                <w:color w:val="000000"/>
                <w:szCs w:val="21"/>
              </w:rPr>
              <w:t>、</w:t>
            </w:r>
            <w:r>
              <w:rPr>
                <w:rFonts w:ascii="仿宋_GB2312" w:eastAsia="仿宋_GB2312"/>
                <w:color w:val="000000"/>
                <w:szCs w:val="21"/>
              </w:rPr>
              <w:t>4</w:t>
            </w:r>
            <w:r>
              <w:rPr>
                <w:rFonts w:hint="eastAsia" w:ascii="仿宋_GB2312" w:eastAsia="仿宋_GB2312"/>
                <w:color w:val="000000"/>
                <w:szCs w:val="21"/>
              </w:rPr>
              <w:t>名</w:t>
            </w:r>
          </w:p>
        </w:tc>
        <w:tc>
          <w:tcPr>
            <w:tcW w:w="1200" w:type="dxa"/>
            <w:noWrap w:val="0"/>
            <w:vAlign w:val="center"/>
          </w:tcPr>
          <w:p>
            <w:pPr>
              <w:keepNext w:val="0"/>
              <w:keepLines w:val="0"/>
              <w:pageBreakBefore w:val="0"/>
              <w:widowControl/>
              <w:kinsoku/>
              <w:wordWrap/>
              <w:overflowPunct/>
              <w:topLinePunct w:val="0"/>
              <w:autoSpaceDE w:val="0"/>
              <w:autoSpaceDN/>
              <w:bidi w:val="0"/>
              <w:adjustRightInd/>
              <w:snapToGrid/>
              <w:spacing w:line="240" w:lineRule="auto"/>
              <w:jc w:val="center"/>
              <w:textAlignment w:val="auto"/>
              <w:rPr>
                <w:rFonts w:ascii="仿宋_GB2312" w:eastAsia="仿宋_GB2312"/>
                <w:color w:val="000000"/>
                <w:szCs w:val="21"/>
              </w:rPr>
            </w:pPr>
            <w:r>
              <w:rPr>
                <w:rFonts w:hint="eastAsia" w:ascii="仿宋_GB2312" w:eastAsia="仿宋_GB2312"/>
                <w:color w:val="000000"/>
                <w:szCs w:val="21"/>
              </w:rPr>
              <w:t>银奖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737" w:type="dxa"/>
            <w:noWrap w:val="0"/>
            <w:vAlign w:val="center"/>
          </w:tcPr>
          <w:p>
            <w:pPr>
              <w:keepNext w:val="0"/>
              <w:keepLines w:val="0"/>
              <w:pageBreakBefore w:val="0"/>
              <w:widowControl/>
              <w:kinsoku/>
              <w:wordWrap/>
              <w:overflowPunct/>
              <w:topLinePunct w:val="0"/>
              <w:autoSpaceDE w:val="0"/>
              <w:autoSpaceDN/>
              <w:bidi w:val="0"/>
              <w:adjustRightInd/>
              <w:snapToGrid/>
              <w:spacing w:line="240" w:lineRule="auto"/>
              <w:jc w:val="center"/>
              <w:textAlignment w:val="auto"/>
              <w:rPr>
                <w:rFonts w:ascii="仿宋_GB2312" w:eastAsia="仿宋_GB2312"/>
                <w:color w:val="000000"/>
                <w:szCs w:val="21"/>
              </w:rPr>
            </w:pPr>
            <w:r>
              <w:rPr>
                <w:rFonts w:hint="eastAsia" w:ascii="仿宋_GB2312" w:eastAsia="仿宋_GB2312"/>
                <w:color w:val="000000"/>
                <w:szCs w:val="21"/>
              </w:rPr>
              <w:t>三等奖次</w:t>
            </w:r>
          </w:p>
        </w:tc>
        <w:tc>
          <w:tcPr>
            <w:tcW w:w="930" w:type="dxa"/>
            <w:noWrap w:val="0"/>
            <w:vAlign w:val="center"/>
          </w:tcPr>
          <w:p>
            <w:pPr>
              <w:keepNext w:val="0"/>
              <w:keepLines w:val="0"/>
              <w:pageBreakBefore w:val="0"/>
              <w:widowControl/>
              <w:kinsoku/>
              <w:wordWrap/>
              <w:overflowPunct/>
              <w:topLinePunct w:val="0"/>
              <w:autoSpaceDE w:val="0"/>
              <w:autoSpaceDN/>
              <w:bidi w:val="0"/>
              <w:adjustRightInd/>
              <w:snapToGrid/>
              <w:spacing w:line="240" w:lineRule="auto"/>
              <w:jc w:val="center"/>
              <w:textAlignment w:val="auto"/>
              <w:rPr>
                <w:rFonts w:ascii="仿宋_GB2312" w:eastAsia="仿宋_GB2312"/>
                <w:color w:val="000000"/>
                <w:szCs w:val="21"/>
              </w:rPr>
            </w:pPr>
            <w:r>
              <w:rPr>
                <w:rFonts w:hint="eastAsia" w:ascii="仿宋_GB2312" w:eastAsia="仿宋_GB2312"/>
                <w:color w:val="000000"/>
                <w:szCs w:val="21"/>
              </w:rPr>
              <w:t>二等奖</w:t>
            </w:r>
          </w:p>
        </w:tc>
        <w:tc>
          <w:tcPr>
            <w:tcW w:w="1020" w:type="dxa"/>
            <w:noWrap w:val="0"/>
            <w:vAlign w:val="center"/>
          </w:tcPr>
          <w:p>
            <w:pPr>
              <w:keepNext w:val="0"/>
              <w:keepLines w:val="0"/>
              <w:pageBreakBefore w:val="0"/>
              <w:widowControl/>
              <w:kinsoku/>
              <w:wordWrap/>
              <w:overflowPunct/>
              <w:topLinePunct w:val="0"/>
              <w:autoSpaceDE w:val="0"/>
              <w:autoSpaceDN/>
              <w:bidi w:val="0"/>
              <w:adjustRightInd/>
              <w:snapToGrid/>
              <w:spacing w:line="240" w:lineRule="auto"/>
              <w:jc w:val="center"/>
              <w:textAlignment w:val="auto"/>
              <w:rPr>
                <w:rFonts w:ascii="仿宋_GB2312" w:eastAsia="仿宋_GB2312"/>
                <w:color w:val="000000"/>
                <w:szCs w:val="21"/>
              </w:rPr>
            </w:pPr>
            <w:r>
              <w:rPr>
                <w:rFonts w:hint="eastAsia" w:ascii="仿宋_GB2312" w:eastAsia="仿宋_GB2312"/>
                <w:color w:val="000000"/>
                <w:szCs w:val="21"/>
              </w:rPr>
              <w:t>三等奖</w:t>
            </w:r>
          </w:p>
        </w:tc>
        <w:tc>
          <w:tcPr>
            <w:tcW w:w="1215" w:type="dxa"/>
            <w:noWrap w:val="0"/>
            <w:vAlign w:val="center"/>
          </w:tcPr>
          <w:p>
            <w:pPr>
              <w:keepNext w:val="0"/>
              <w:keepLines w:val="0"/>
              <w:pageBreakBefore w:val="0"/>
              <w:widowControl/>
              <w:kinsoku/>
              <w:wordWrap/>
              <w:overflowPunct/>
              <w:topLinePunct w:val="0"/>
              <w:autoSpaceDE w:val="0"/>
              <w:autoSpaceDN/>
              <w:bidi w:val="0"/>
              <w:adjustRightInd/>
              <w:snapToGrid/>
              <w:spacing w:line="240" w:lineRule="auto"/>
              <w:jc w:val="center"/>
              <w:textAlignment w:val="auto"/>
              <w:rPr>
                <w:rFonts w:ascii="仿宋_GB2312" w:eastAsia="仿宋_GB2312"/>
                <w:color w:val="000000"/>
                <w:szCs w:val="21"/>
              </w:rPr>
            </w:pPr>
            <w:r>
              <w:rPr>
                <w:rFonts w:hint="eastAsia" w:ascii="仿宋_GB2312" w:eastAsia="仿宋_GB2312"/>
                <w:color w:val="000000"/>
                <w:szCs w:val="21"/>
              </w:rPr>
              <w:t>季军</w:t>
            </w:r>
          </w:p>
        </w:tc>
        <w:tc>
          <w:tcPr>
            <w:tcW w:w="2010" w:type="dxa"/>
            <w:noWrap w:val="0"/>
            <w:vAlign w:val="center"/>
          </w:tcPr>
          <w:p>
            <w:pPr>
              <w:keepNext w:val="0"/>
              <w:keepLines w:val="0"/>
              <w:pageBreakBefore w:val="0"/>
              <w:widowControl/>
              <w:kinsoku/>
              <w:wordWrap/>
              <w:overflowPunct/>
              <w:topLinePunct w:val="0"/>
              <w:autoSpaceDE w:val="0"/>
              <w:autoSpaceDN/>
              <w:bidi w:val="0"/>
              <w:adjustRightInd/>
              <w:snapToGrid/>
              <w:spacing w:line="240" w:lineRule="auto"/>
              <w:jc w:val="center"/>
              <w:textAlignment w:val="auto"/>
              <w:rPr>
                <w:rFonts w:ascii="仿宋_GB2312" w:eastAsia="仿宋_GB2312"/>
                <w:color w:val="000000"/>
                <w:szCs w:val="21"/>
              </w:rPr>
            </w:pPr>
            <w:r>
              <w:rPr>
                <w:rFonts w:hint="eastAsia" w:ascii="仿宋_GB2312" w:eastAsia="仿宋_GB2312"/>
                <w:color w:val="000000"/>
                <w:szCs w:val="21"/>
              </w:rPr>
              <w:t>第</w:t>
            </w:r>
            <w:r>
              <w:rPr>
                <w:rFonts w:ascii="仿宋_GB2312" w:eastAsia="仿宋_GB2312"/>
                <w:color w:val="000000"/>
                <w:szCs w:val="21"/>
              </w:rPr>
              <w:t>5</w:t>
            </w:r>
            <w:r>
              <w:rPr>
                <w:rFonts w:hint="eastAsia" w:ascii="仿宋_GB2312" w:eastAsia="仿宋_GB2312"/>
                <w:color w:val="000000"/>
                <w:szCs w:val="21"/>
              </w:rPr>
              <w:t>、</w:t>
            </w:r>
            <w:r>
              <w:rPr>
                <w:rFonts w:ascii="仿宋_GB2312" w:eastAsia="仿宋_GB2312"/>
                <w:color w:val="000000"/>
                <w:szCs w:val="21"/>
              </w:rPr>
              <w:t>6</w:t>
            </w:r>
            <w:r>
              <w:rPr>
                <w:rFonts w:hint="eastAsia" w:ascii="仿宋_GB2312" w:eastAsia="仿宋_GB2312"/>
                <w:color w:val="000000"/>
                <w:szCs w:val="21"/>
              </w:rPr>
              <w:t>、</w:t>
            </w:r>
            <w:r>
              <w:rPr>
                <w:rFonts w:ascii="仿宋_GB2312" w:eastAsia="仿宋_GB2312"/>
                <w:color w:val="000000"/>
                <w:szCs w:val="21"/>
              </w:rPr>
              <w:t>7</w:t>
            </w:r>
            <w:r>
              <w:rPr>
                <w:rFonts w:hint="eastAsia" w:ascii="仿宋_GB2312" w:eastAsia="仿宋_GB2312"/>
                <w:color w:val="000000"/>
                <w:szCs w:val="21"/>
              </w:rPr>
              <w:t>、</w:t>
            </w:r>
            <w:r>
              <w:rPr>
                <w:rFonts w:ascii="仿宋_GB2312" w:eastAsia="仿宋_GB2312"/>
                <w:color w:val="000000"/>
                <w:szCs w:val="21"/>
              </w:rPr>
              <w:t>8</w:t>
            </w:r>
            <w:r>
              <w:rPr>
                <w:rFonts w:hint="eastAsia" w:ascii="仿宋_GB2312" w:eastAsia="仿宋_GB2312"/>
                <w:color w:val="000000"/>
                <w:szCs w:val="21"/>
              </w:rPr>
              <w:t>名</w:t>
            </w:r>
          </w:p>
        </w:tc>
        <w:tc>
          <w:tcPr>
            <w:tcW w:w="1200" w:type="dxa"/>
            <w:noWrap w:val="0"/>
            <w:vAlign w:val="center"/>
          </w:tcPr>
          <w:p>
            <w:pPr>
              <w:keepNext w:val="0"/>
              <w:keepLines w:val="0"/>
              <w:pageBreakBefore w:val="0"/>
              <w:widowControl/>
              <w:kinsoku/>
              <w:wordWrap/>
              <w:overflowPunct/>
              <w:topLinePunct w:val="0"/>
              <w:autoSpaceDE w:val="0"/>
              <w:autoSpaceDN/>
              <w:bidi w:val="0"/>
              <w:adjustRightInd/>
              <w:snapToGrid/>
              <w:spacing w:line="240" w:lineRule="auto"/>
              <w:jc w:val="center"/>
              <w:textAlignment w:val="auto"/>
              <w:rPr>
                <w:rFonts w:ascii="仿宋_GB2312" w:eastAsia="仿宋_GB2312"/>
                <w:color w:val="000000"/>
                <w:szCs w:val="21"/>
              </w:rPr>
            </w:pPr>
            <w:r>
              <w:rPr>
                <w:rFonts w:hint="eastAsia" w:ascii="仿宋_GB2312" w:eastAsia="仿宋_GB2312"/>
                <w:color w:val="000000"/>
                <w:szCs w:val="21"/>
              </w:rPr>
              <w:t>铜奖</w:t>
            </w:r>
          </w:p>
        </w:tc>
      </w:tr>
    </w:tbl>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default" w:ascii="仿宋_GB2312" w:hAnsi="仿宋" w:eastAsia="仿宋_GB2312" w:cs="仿宋"/>
          <w:color w:val="000000"/>
          <w:sz w:val="32"/>
          <w:szCs w:val="32"/>
          <w:lang w:val="en-US" w:eastAsia="zh-CN"/>
        </w:rPr>
      </w:pP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黑体" w:hAnsi="黑体" w:eastAsia="黑体" w:cs="黑体fal"/>
          <w:color w:val="000000"/>
          <w:sz w:val="32"/>
          <w:szCs w:val="32"/>
          <w:lang w:val="en-US" w:eastAsia="zh-CN"/>
        </w:rPr>
        <w:t>第二十四条</w:t>
      </w:r>
      <w:r>
        <w:rPr>
          <w:rFonts w:hint="eastAsia" w:ascii="仿宋_GB2312" w:hAnsi="仿宋" w:eastAsia="仿宋_GB2312" w:cs="仿宋"/>
          <w:color w:val="000000"/>
          <w:sz w:val="32"/>
          <w:szCs w:val="32"/>
          <w:lang w:val="en-US" w:eastAsia="zh-CN"/>
        </w:rPr>
        <w:t xml:space="preserve"> 学校对在国际、国家、省、院级科技竞赛中取得优异成绩的学生参赛团体和个人进行表彰和奖励，奖励标准见表2。获奖学生优先评选奖学金、优秀毕业生等学生奖励项目。学生学分奖励按《温州职业技术学院学生奖励学分管理办法》执行。同一系列的比赛按最高级别计算学分，并按最高额给予物质奖励，均不作累计；同时获得团体与个人奖的，按最高额给予物质奖励；</w:t>
      </w:r>
    </w:p>
    <w:p>
      <w:pPr>
        <w:keepNext w:val="0"/>
        <w:keepLines w:val="0"/>
        <w:pageBreakBefore w:val="0"/>
        <w:kinsoku/>
        <w:wordWrap/>
        <w:overflowPunct/>
        <w:topLinePunct w:val="0"/>
        <w:autoSpaceDN/>
        <w:bidi w:val="0"/>
        <w:adjustRightInd/>
        <w:snapToGrid/>
        <w:spacing w:line="360" w:lineRule="auto"/>
        <w:ind w:firstLine="480" w:firstLineChars="200"/>
        <w:textAlignment w:val="auto"/>
        <w:rPr>
          <w:rFonts w:hint="eastAsia" w:ascii="黑体" w:hAnsi="黑体" w:eastAsia="黑体"/>
          <w:color w:val="000000"/>
          <w:sz w:val="24"/>
        </w:rPr>
      </w:pPr>
    </w:p>
    <w:p>
      <w:pPr>
        <w:keepNext w:val="0"/>
        <w:keepLines w:val="0"/>
        <w:pageBreakBefore w:val="0"/>
        <w:kinsoku/>
        <w:wordWrap/>
        <w:overflowPunct/>
        <w:topLinePunct w:val="0"/>
        <w:autoSpaceDN/>
        <w:bidi w:val="0"/>
        <w:adjustRightInd/>
        <w:snapToGrid/>
        <w:spacing w:line="360" w:lineRule="auto"/>
        <w:ind w:firstLine="480" w:firstLineChars="200"/>
        <w:textAlignment w:val="auto"/>
        <w:rPr>
          <w:rFonts w:ascii="黑体" w:hAnsi="黑体" w:eastAsia="黑体"/>
          <w:color w:val="000000"/>
          <w:sz w:val="24"/>
        </w:rPr>
      </w:pPr>
      <w:r>
        <w:rPr>
          <w:rFonts w:hint="eastAsia" w:ascii="黑体" w:hAnsi="黑体" w:eastAsia="黑体"/>
          <w:color w:val="000000"/>
          <w:sz w:val="24"/>
        </w:rPr>
        <w:t>表</w:t>
      </w:r>
      <w:r>
        <w:rPr>
          <w:rFonts w:hint="eastAsia" w:ascii="黑体" w:hAnsi="黑体" w:eastAsia="黑体"/>
          <w:color w:val="000000"/>
          <w:sz w:val="24"/>
          <w:lang w:val="en-US" w:eastAsia="zh-CN"/>
        </w:rPr>
        <w:t>2</w:t>
      </w:r>
      <w:r>
        <w:rPr>
          <w:rFonts w:ascii="黑体" w:hAnsi="黑体" w:eastAsia="黑体"/>
          <w:color w:val="000000"/>
          <w:sz w:val="24"/>
        </w:rPr>
        <w:t xml:space="preserve"> </w:t>
      </w:r>
      <w:r>
        <w:rPr>
          <w:rFonts w:hint="eastAsia" w:ascii="黑体" w:hAnsi="黑体" w:eastAsia="黑体"/>
          <w:color w:val="000000"/>
          <w:sz w:val="24"/>
        </w:rPr>
        <w:t>学生参加国家、省、院级科技竞赛获奖奖励标准</w:t>
      </w:r>
      <w:r>
        <w:rPr>
          <w:rFonts w:hint="eastAsia" w:ascii="黑体" w:hAnsi="黑体" w:eastAsia="黑体"/>
          <w:sz w:val="24"/>
        </w:rPr>
        <w:t>（元</w:t>
      </w:r>
      <w:r>
        <w:rPr>
          <w:rFonts w:ascii="黑体" w:hAnsi="黑体" w:eastAsia="黑体"/>
          <w:sz w:val="24"/>
        </w:rPr>
        <w:t>/</w:t>
      </w:r>
      <w:r>
        <w:rPr>
          <w:rFonts w:hint="eastAsia" w:ascii="黑体" w:hAnsi="黑体" w:eastAsia="黑体"/>
          <w:sz w:val="24"/>
        </w:rPr>
        <w:t>人或组）</w:t>
      </w:r>
    </w:p>
    <w:tbl>
      <w:tblPr>
        <w:tblStyle w:val="5"/>
        <w:tblpPr w:leftFromText="180" w:rightFromText="180" w:vertAnchor="text" w:horzAnchor="margin" w:tblpXSpec="center" w:tblpY="62"/>
        <w:tblW w:w="79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
        <w:gridCol w:w="1510"/>
        <w:gridCol w:w="1206"/>
        <w:gridCol w:w="1559"/>
        <w:gridCol w:w="1276"/>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446" w:type="dxa"/>
            <w:gridSpan w:val="2"/>
            <w:vMerge w:val="restart"/>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bCs/>
                <w:sz w:val="24"/>
              </w:rPr>
            </w:pPr>
            <w:r>
              <w:rPr>
                <w:rFonts w:hint="eastAsia" w:ascii="仿宋_GB2312" w:hAnsi="宋体fal" w:eastAsia="仿宋_GB2312"/>
                <w:bCs/>
                <w:sz w:val="24"/>
              </w:rPr>
              <w:t>竞赛级别与奖励等级</w:t>
            </w:r>
          </w:p>
        </w:tc>
        <w:tc>
          <w:tcPr>
            <w:tcW w:w="2765" w:type="dxa"/>
            <w:gridSpan w:val="2"/>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bCs/>
                <w:sz w:val="24"/>
              </w:rPr>
            </w:pPr>
            <w:r>
              <w:rPr>
                <w:rFonts w:hint="eastAsia" w:ascii="仿宋_GB2312" w:hAnsi="宋体fal" w:eastAsia="仿宋_GB2312"/>
                <w:bCs/>
                <w:sz w:val="24"/>
              </w:rPr>
              <w:t>一等奖次</w:t>
            </w:r>
          </w:p>
        </w:tc>
        <w:tc>
          <w:tcPr>
            <w:tcW w:w="2694" w:type="dxa"/>
            <w:gridSpan w:val="2"/>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bCs/>
                <w:sz w:val="24"/>
              </w:rPr>
            </w:pPr>
            <w:r>
              <w:rPr>
                <w:rFonts w:hint="eastAsia" w:ascii="仿宋_GB2312" w:hAnsi="宋体fal" w:eastAsia="仿宋_GB2312"/>
                <w:bCs/>
                <w:sz w:val="24"/>
              </w:rPr>
              <w:t>二等奖次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2446"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eastAsia="仿宋_GB2312"/>
                <w:bCs/>
                <w:sz w:val="24"/>
              </w:rPr>
            </w:pPr>
          </w:p>
        </w:tc>
        <w:tc>
          <w:tcPr>
            <w:tcW w:w="1206"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bCs/>
                <w:sz w:val="24"/>
              </w:rPr>
            </w:pPr>
            <w:r>
              <w:rPr>
                <w:rFonts w:hint="eastAsia" w:ascii="仿宋_GB2312" w:hAnsi="宋体fal" w:eastAsia="仿宋_GB2312"/>
                <w:bCs/>
                <w:sz w:val="24"/>
              </w:rPr>
              <w:t>甲类</w:t>
            </w:r>
          </w:p>
        </w:tc>
        <w:tc>
          <w:tcPr>
            <w:tcW w:w="1559"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bCs/>
                <w:sz w:val="24"/>
              </w:rPr>
            </w:pPr>
            <w:r>
              <w:rPr>
                <w:rFonts w:hint="eastAsia" w:ascii="仿宋_GB2312" w:hAnsi="宋体fal" w:eastAsia="仿宋_GB2312"/>
                <w:bCs/>
                <w:sz w:val="24"/>
              </w:rPr>
              <w:t>乙类</w:t>
            </w:r>
          </w:p>
        </w:tc>
        <w:tc>
          <w:tcPr>
            <w:tcW w:w="1276"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bCs/>
                <w:sz w:val="24"/>
              </w:rPr>
            </w:pPr>
            <w:r>
              <w:rPr>
                <w:rFonts w:hint="eastAsia" w:ascii="仿宋_GB2312" w:hAnsi="宋体fal" w:eastAsia="仿宋_GB2312"/>
                <w:bCs/>
                <w:sz w:val="24"/>
              </w:rPr>
              <w:t>甲类</w:t>
            </w:r>
          </w:p>
        </w:tc>
        <w:tc>
          <w:tcPr>
            <w:tcW w:w="1418"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bCs/>
                <w:sz w:val="24"/>
              </w:rPr>
            </w:pPr>
            <w:r>
              <w:rPr>
                <w:rFonts w:hint="eastAsia" w:ascii="仿宋_GB2312" w:hAnsi="宋体fal" w:eastAsia="仿宋_GB2312"/>
                <w:bCs/>
                <w:sz w:val="24"/>
              </w:rPr>
              <w:t>乙类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8" w:hRule="atLeast"/>
        </w:trPr>
        <w:tc>
          <w:tcPr>
            <w:tcW w:w="936" w:type="dxa"/>
            <w:vMerge w:val="restart"/>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bCs/>
                <w:sz w:val="24"/>
              </w:rPr>
            </w:pPr>
            <w:r>
              <w:rPr>
                <w:rFonts w:hint="eastAsia" w:ascii="仿宋_GB2312" w:hAnsi="宋体fal" w:eastAsia="仿宋_GB2312"/>
                <w:bCs/>
                <w:sz w:val="24"/>
              </w:rPr>
              <w:t>国</w:t>
            </w:r>
          </w:p>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bCs/>
                <w:sz w:val="24"/>
              </w:rPr>
            </w:pPr>
            <w:r>
              <w:rPr>
                <w:rFonts w:hint="eastAsia" w:ascii="仿宋_GB2312" w:hAnsi="宋体fal" w:eastAsia="仿宋_GB2312"/>
                <w:bCs/>
                <w:sz w:val="24"/>
              </w:rPr>
              <w:t>家</w:t>
            </w:r>
          </w:p>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bCs/>
                <w:sz w:val="24"/>
              </w:rPr>
            </w:pPr>
            <w:r>
              <w:rPr>
                <w:rFonts w:hint="eastAsia" w:ascii="仿宋_GB2312" w:hAnsi="宋体fal" w:eastAsia="仿宋_GB2312"/>
                <w:bCs/>
                <w:sz w:val="24"/>
              </w:rPr>
              <w:t>级</w:t>
            </w:r>
          </w:p>
        </w:tc>
        <w:tc>
          <w:tcPr>
            <w:tcW w:w="1510"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bCs/>
                <w:sz w:val="24"/>
              </w:rPr>
            </w:pPr>
            <w:r>
              <w:rPr>
                <w:rFonts w:hint="eastAsia" w:ascii="仿宋_GB2312" w:hAnsi="宋体fal" w:eastAsia="仿宋_GB2312"/>
                <w:bCs/>
                <w:sz w:val="24"/>
              </w:rPr>
              <w:t>团体</w:t>
            </w:r>
          </w:p>
        </w:tc>
        <w:tc>
          <w:tcPr>
            <w:tcW w:w="1206"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color w:val="000000"/>
                <w:sz w:val="24"/>
              </w:rPr>
            </w:pPr>
            <w:r>
              <w:rPr>
                <w:rFonts w:ascii="仿宋_GB2312" w:eastAsia="仿宋_GB2312"/>
                <w:color w:val="000000"/>
                <w:sz w:val="24"/>
              </w:rPr>
              <w:t>35000</w:t>
            </w:r>
          </w:p>
        </w:tc>
        <w:tc>
          <w:tcPr>
            <w:tcW w:w="1559"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color w:val="000000"/>
                <w:sz w:val="24"/>
              </w:rPr>
            </w:pPr>
            <w:r>
              <w:rPr>
                <w:rFonts w:ascii="仿宋_GB2312" w:eastAsia="仿宋_GB2312"/>
                <w:color w:val="000000"/>
                <w:sz w:val="24"/>
              </w:rPr>
              <w:t>30000</w:t>
            </w:r>
          </w:p>
        </w:tc>
        <w:tc>
          <w:tcPr>
            <w:tcW w:w="1276"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color w:val="000000"/>
                <w:sz w:val="24"/>
              </w:rPr>
            </w:pPr>
            <w:r>
              <w:rPr>
                <w:rFonts w:ascii="仿宋_GB2312" w:eastAsia="仿宋_GB2312"/>
                <w:color w:val="000000"/>
                <w:sz w:val="24"/>
              </w:rPr>
              <w:t>10000</w:t>
            </w:r>
          </w:p>
        </w:tc>
        <w:tc>
          <w:tcPr>
            <w:tcW w:w="1418"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color w:val="000000"/>
                <w:sz w:val="24"/>
              </w:rPr>
            </w:pPr>
            <w:r>
              <w:rPr>
                <w:rFonts w:ascii="仿宋_GB2312" w:eastAsia="仿宋_GB2312"/>
                <w:color w:val="000000"/>
                <w:sz w:val="24"/>
              </w:rPr>
              <w:t>8500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 w:hRule="atLeast"/>
        </w:trPr>
        <w:tc>
          <w:tcPr>
            <w:tcW w:w="93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eastAsia="仿宋_GB2312"/>
                <w:bCs/>
                <w:sz w:val="24"/>
              </w:rPr>
            </w:pPr>
          </w:p>
        </w:tc>
        <w:tc>
          <w:tcPr>
            <w:tcW w:w="1510"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bCs/>
                <w:sz w:val="24"/>
              </w:rPr>
            </w:pPr>
            <w:r>
              <w:rPr>
                <w:rFonts w:hint="eastAsia" w:ascii="仿宋_GB2312" w:hAnsi="宋体fal" w:eastAsia="仿宋_GB2312"/>
                <w:bCs/>
                <w:sz w:val="24"/>
              </w:rPr>
              <w:t>个人</w:t>
            </w:r>
          </w:p>
        </w:tc>
        <w:tc>
          <w:tcPr>
            <w:tcW w:w="1206"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color w:val="000000"/>
                <w:sz w:val="24"/>
              </w:rPr>
            </w:pPr>
            <w:r>
              <w:rPr>
                <w:rFonts w:ascii="仿宋_GB2312" w:eastAsia="仿宋_GB2312"/>
                <w:color w:val="000000"/>
                <w:sz w:val="24"/>
              </w:rPr>
              <w:t>17500</w:t>
            </w:r>
          </w:p>
        </w:tc>
        <w:tc>
          <w:tcPr>
            <w:tcW w:w="1559"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color w:val="000000"/>
                <w:sz w:val="24"/>
              </w:rPr>
            </w:pPr>
            <w:r>
              <w:rPr>
                <w:rFonts w:ascii="仿宋_GB2312" w:eastAsia="仿宋_GB2312"/>
                <w:color w:val="000000"/>
                <w:sz w:val="24"/>
              </w:rPr>
              <w:t>15000</w:t>
            </w:r>
          </w:p>
        </w:tc>
        <w:tc>
          <w:tcPr>
            <w:tcW w:w="1276"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color w:val="000000"/>
                <w:sz w:val="24"/>
              </w:rPr>
            </w:pPr>
            <w:r>
              <w:rPr>
                <w:rFonts w:ascii="仿宋_GB2312" w:eastAsia="仿宋_GB2312"/>
                <w:color w:val="000000"/>
                <w:sz w:val="24"/>
              </w:rPr>
              <w:t>5000</w:t>
            </w:r>
          </w:p>
        </w:tc>
        <w:tc>
          <w:tcPr>
            <w:tcW w:w="1418"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color w:val="000000"/>
                <w:sz w:val="24"/>
              </w:rPr>
            </w:pPr>
            <w:r>
              <w:rPr>
                <w:rFonts w:ascii="仿宋_GB2312" w:eastAsia="仿宋_GB2312"/>
                <w:color w:val="000000"/>
                <w:sz w:val="24"/>
              </w:rPr>
              <w:t>4250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5" w:hRule="atLeast"/>
        </w:trPr>
        <w:tc>
          <w:tcPr>
            <w:tcW w:w="936" w:type="dxa"/>
            <w:vMerge w:val="restart"/>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bCs/>
                <w:sz w:val="24"/>
              </w:rPr>
            </w:pPr>
            <w:r>
              <w:rPr>
                <w:rFonts w:hint="eastAsia" w:ascii="仿宋_GB2312" w:hAnsi="宋体fal" w:eastAsia="仿宋_GB2312"/>
                <w:bCs/>
                <w:sz w:val="24"/>
              </w:rPr>
              <w:t>省</w:t>
            </w:r>
          </w:p>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bCs/>
                <w:sz w:val="24"/>
              </w:rPr>
            </w:pPr>
            <w:r>
              <w:rPr>
                <w:rFonts w:hint="eastAsia" w:ascii="仿宋_GB2312" w:hAnsi="宋体fal" w:eastAsia="仿宋_GB2312"/>
                <w:bCs/>
                <w:sz w:val="24"/>
              </w:rPr>
              <w:t>级</w:t>
            </w:r>
          </w:p>
        </w:tc>
        <w:tc>
          <w:tcPr>
            <w:tcW w:w="1510"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bCs/>
                <w:sz w:val="24"/>
              </w:rPr>
            </w:pPr>
            <w:r>
              <w:rPr>
                <w:rFonts w:hint="eastAsia" w:ascii="仿宋_GB2312" w:hAnsi="宋体fal" w:eastAsia="仿宋_GB2312"/>
                <w:bCs/>
                <w:sz w:val="24"/>
              </w:rPr>
              <w:t>团体</w:t>
            </w:r>
          </w:p>
        </w:tc>
        <w:tc>
          <w:tcPr>
            <w:tcW w:w="1206"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color w:val="000000"/>
                <w:sz w:val="24"/>
              </w:rPr>
            </w:pPr>
            <w:r>
              <w:rPr>
                <w:rFonts w:ascii="仿宋_GB2312" w:eastAsia="仿宋_GB2312"/>
                <w:color w:val="000000"/>
                <w:sz w:val="24"/>
              </w:rPr>
              <w:t>5000</w:t>
            </w:r>
          </w:p>
        </w:tc>
        <w:tc>
          <w:tcPr>
            <w:tcW w:w="1559"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color w:val="000000"/>
                <w:sz w:val="24"/>
              </w:rPr>
            </w:pPr>
            <w:r>
              <w:rPr>
                <w:rFonts w:ascii="仿宋_GB2312" w:eastAsia="仿宋_GB2312"/>
                <w:color w:val="000000"/>
                <w:sz w:val="24"/>
              </w:rPr>
              <w:t>4200</w:t>
            </w:r>
          </w:p>
        </w:tc>
        <w:tc>
          <w:tcPr>
            <w:tcW w:w="1276"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color w:val="000000"/>
                <w:sz w:val="24"/>
              </w:rPr>
            </w:pPr>
            <w:r>
              <w:rPr>
                <w:rFonts w:ascii="仿宋_GB2312" w:eastAsia="仿宋_GB2312"/>
                <w:color w:val="000000"/>
                <w:sz w:val="24"/>
              </w:rPr>
              <w:t>1500</w:t>
            </w:r>
          </w:p>
        </w:tc>
        <w:tc>
          <w:tcPr>
            <w:tcW w:w="1418"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color w:val="000000"/>
                <w:sz w:val="24"/>
              </w:rPr>
            </w:pPr>
            <w:r>
              <w:rPr>
                <w:rFonts w:ascii="仿宋_GB2312" w:eastAsia="仿宋_GB2312"/>
                <w:color w:val="000000"/>
                <w:sz w:val="24"/>
              </w:rPr>
              <w:t>1250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trPr>
        <w:tc>
          <w:tcPr>
            <w:tcW w:w="93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eastAsia="仿宋_GB2312"/>
                <w:bCs/>
                <w:sz w:val="24"/>
              </w:rPr>
            </w:pPr>
          </w:p>
        </w:tc>
        <w:tc>
          <w:tcPr>
            <w:tcW w:w="1510"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bCs/>
                <w:sz w:val="24"/>
              </w:rPr>
            </w:pPr>
            <w:r>
              <w:rPr>
                <w:rFonts w:hint="eastAsia" w:ascii="仿宋_GB2312" w:hAnsi="宋体fal" w:eastAsia="仿宋_GB2312"/>
                <w:bCs/>
                <w:sz w:val="24"/>
              </w:rPr>
              <w:t>个人</w:t>
            </w:r>
          </w:p>
        </w:tc>
        <w:tc>
          <w:tcPr>
            <w:tcW w:w="1206"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color w:val="000000"/>
                <w:sz w:val="24"/>
              </w:rPr>
            </w:pPr>
            <w:r>
              <w:rPr>
                <w:rFonts w:ascii="仿宋_GB2312" w:eastAsia="仿宋_GB2312"/>
                <w:color w:val="000000"/>
                <w:sz w:val="24"/>
              </w:rPr>
              <w:t>2500</w:t>
            </w:r>
          </w:p>
        </w:tc>
        <w:tc>
          <w:tcPr>
            <w:tcW w:w="1559"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color w:val="000000"/>
                <w:sz w:val="24"/>
              </w:rPr>
            </w:pPr>
            <w:r>
              <w:rPr>
                <w:rFonts w:ascii="仿宋_GB2312" w:eastAsia="仿宋_GB2312"/>
                <w:color w:val="000000"/>
                <w:sz w:val="24"/>
              </w:rPr>
              <w:t>2100</w:t>
            </w:r>
          </w:p>
        </w:tc>
        <w:tc>
          <w:tcPr>
            <w:tcW w:w="1276"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color w:val="000000"/>
                <w:sz w:val="24"/>
              </w:rPr>
            </w:pPr>
            <w:r>
              <w:rPr>
                <w:rFonts w:ascii="仿宋_GB2312" w:eastAsia="仿宋_GB2312"/>
                <w:color w:val="000000"/>
                <w:sz w:val="24"/>
              </w:rPr>
              <w:t>750</w:t>
            </w:r>
          </w:p>
        </w:tc>
        <w:tc>
          <w:tcPr>
            <w:tcW w:w="1418"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color w:val="000000"/>
                <w:sz w:val="24"/>
              </w:rPr>
            </w:pPr>
            <w:r>
              <w:rPr>
                <w:rFonts w:ascii="仿宋_GB2312" w:eastAsia="仿宋_GB2312"/>
                <w:color w:val="000000"/>
                <w:sz w:val="24"/>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936"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eastAsia="仿宋_GB2312"/>
                <w:bCs/>
                <w:sz w:val="24"/>
                <w:highlight w:val="cyan"/>
                <w:lang w:val="en-US" w:eastAsia="zh-CN"/>
              </w:rPr>
            </w:pPr>
            <w:r>
              <w:rPr>
                <w:rFonts w:hint="eastAsia" w:ascii="仿宋_GB2312" w:eastAsia="仿宋_GB2312"/>
                <w:bCs/>
                <w:sz w:val="24"/>
                <w:highlight w:val="cyan"/>
                <w:lang w:val="en-US" w:eastAsia="zh-CN"/>
              </w:rPr>
              <w:t>市</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仿宋_GB2312" w:eastAsia="仿宋_GB2312"/>
                <w:bCs/>
                <w:sz w:val="24"/>
                <w:highlight w:val="cyan"/>
                <w:lang w:val="en-US" w:eastAsia="zh-CN"/>
              </w:rPr>
            </w:pPr>
            <w:r>
              <w:rPr>
                <w:rFonts w:hint="eastAsia" w:ascii="仿宋_GB2312" w:eastAsia="仿宋_GB2312"/>
                <w:bCs/>
                <w:sz w:val="24"/>
                <w:highlight w:val="cyan"/>
                <w:lang w:val="en-US" w:eastAsia="zh-CN"/>
              </w:rPr>
              <w:t>校</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eastAsia="仿宋_GB2312"/>
                <w:bCs/>
                <w:sz w:val="24"/>
              </w:rPr>
            </w:pPr>
            <w:r>
              <w:rPr>
                <w:rFonts w:hint="eastAsia" w:ascii="仿宋_GB2312" w:hAnsi="宋体fal" w:eastAsia="仿宋_GB2312"/>
                <w:bCs/>
                <w:sz w:val="24"/>
                <w:highlight w:val="cyan"/>
              </w:rPr>
              <w:t>级</w:t>
            </w:r>
          </w:p>
        </w:tc>
        <w:tc>
          <w:tcPr>
            <w:tcW w:w="1510"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bCs/>
                <w:sz w:val="24"/>
              </w:rPr>
            </w:pPr>
            <w:r>
              <w:rPr>
                <w:rFonts w:hint="eastAsia" w:ascii="仿宋_GB2312" w:hAnsi="宋体fal" w:eastAsia="仿宋_GB2312"/>
                <w:bCs/>
                <w:sz w:val="24"/>
              </w:rPr>
              <w:t>团体</w:t>
            </w:r>
          </w:p>
        </w:tc>
        <w:tc>
          <w:tcPr>
            <w:tcW w:w="2765" w:type="dxa"/>
            <w:gridSpan w:val="2"/>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color w:val="000000"/>
                <w:sz w:val="24"/>
              </w:rPr>
            </w:pPr>
            <w:r>
              <w:rPr>
                <w:rFonts w:ascii="仿宋_GB2312" w:eastAsia="仿宋_GB2312"/>
                <w:color w:val="000000"/>
                <w:sz w:val="24"/>
              </w:rPr>
              <w:t>300</w:t>
            </w:r>
          </w:p>
        </w:tc>
        <w:tc>
          <w:tcPr>
            <w:tcW w:w="1276"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color w:val="000000"/>
                <w:sz w:val="24"/>
              </w:rPr>
            </w:pPr>
          </w:p>
        </w:tc>
        <w:tc>
          <w:tcPr>
            <w:tcW w:w="1418"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1" w:hRule="atLeast"/>
        </w:trPr>
        <w:tc>
          <w:tcPr>
            <w:tcW w:w="93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eastAsia="仿宋_GB2312"/>
                <w:bCs/>
                <w:sz w:val="24"/>
              </w:rPr>
            </w:pPr>
          </w:p>
        </w:tc>
        <w:tc>
          <w:tcPr>
            <w:tcW w:w="1510"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bCs/>
                <w:sz w:val="24"/>
              </w:rPr>
            </w:pPr>
            <w:r>
              <w:rPr>
                <w:rFonts w:hint="eastAsia" w:ascii="仿宋_GB2312" w:hAnsi="宋体fal" w:eastAsia="仿宋_GB2312"/>
                <w:bCs/>
                <w:sz w:val="24"/>
              </w:rPr>
              <w:t>个人</w:t>
            </w:r>
          </w:p>
        </w:tc>
        <w:tc>
          <w:tcPr>
            <w:tcW w:w="2765" w:type="dxa"/>
            <w:gridSpan w:val="2"/>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color w:val="000000"/>
                <w:sz w:val="24"/>
              </w:rPr>
            </w:pPr>
            <w:r>
              <w:rPr>
                <w:rFonts w:ascii="仿宋_GB2312" w:eastAsia="仿宋_GB2312"/>
                <w:color w:val="000000"/>
                <w:sz w:val="24"/>
              </w:rPr>
              <w:t>150</w:t>
            </w:r>
          </w:p>
        </w:tc>
        <w:tc>
          <w:tcPr>
            <w:tcW w:w="1276"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color w:val="000000"/>
                <w:sz w:val="24"/>
              </w:rPr>
            </w:pPr>
          </w:p>
        </w:tc>
        <w:tc>
          <w:tcPr>
            <w:tcW w:w="1418"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仿宋_GB2312" w:eastAsia="仿宋_GB2312"/>
                <w:color w:val="000000"/>
                <w:sz w:val="24"/>
              </w:rPr>
            </w:pPr>
          </w:p>
        </w:tc>
      </w:tr>
    </w:tbl>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黑体" w:hAnsi="黑体" w:eastAsia="黑体" w:cs="黑体fal"/>
          <w:color w:val="000000"/>
          <w:sz w:val="32"/>
          <w:szCs w:val="32"/>
          <w:lang w:val="en-US" w:eastAsia="zh-CN"/>
        </w:rPr>
      </w:pP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黑体" w:hAnsi="黑体" w:eastAsia="黑体" w:cs="黑体fal"/>
          <w:color w:val="000000"/>
          <w:sz w:val="32"/>
          <w:szCs w:val="32"/>
          <w:lang w:val="en-US" w:eastAsia="zh-CN"/>
        </w:rPr>
        <w:t>第二十五条</w:t>
      </w:r>
      <w:r>
        <w:rPr>
          <w:rFonts w:hint="eastAsia" w:ascii="仿宋_GB2312" w:hAnsi="仿宋" w:eastAsia="仿宋_GB2312" w:cs="仿宋"/>
          <w:color w:val="000000"/>
          <w:sz w:val="32"/>
          <w:szCs w:val="32"/>
          <w:lang w:val="en-US" w:eastAsia="zh-CN"/>
        </w:rPr>
        <w:t xml:space="preserve"> “挑战杯” 全国大学生课外学术科技作品竞赛、中国大学生创业计划竞赛、中国国际“互联网+”大学生创新创业大赛、“挑战杯”职业学校创新创效创业大赛等获奖学生奖励由学校团委依据奖励标准进行预算填报及奖励发放；大学生职业生涯规划竞赛由学校招生就业处依据奖励标准进行预算填报及奖励发放。</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rPr>
      </w:pPr>
      <w:r>
        <w:rPr>
          <w:rFonts w:hint="eastAsia" w:ascii="黑体" w:hAnsi="黑体" w:eastAsia="黑体" w:cs="黑体fal"/>
          <w:color w:val="000000"/>
          <w:sz w:val="32"/>
          <w:szCs w:val="32"/>
          <w:lang w:val="en-US" w:eastAsia="zh-CN"/>
        </w:rPr>
        <w:t>第二十六条</w:t>
      </w:r>
      <w:r>
        <w:rPr>
          <w:rFonts w:hint="eastAsia" w:ascii="仿宋_GB2312" w:hAnsi="仿宋" w:eastAsia="仿宋_GB2312" w:cs="仿宋"/>
          <w:color w:val="000000"/>
          <w:sz w:val="32"/>
          <w:szCs w:val="32"/>
          <w:lang w:val="en-US" w:eastAsia="zh-CN"/>
        </w:rPr>
        <w:t xml:space="preserve"> </w:t>
      </w:r>
      <w:r>
        <w:rPr>
          <w:rFonts w:hint="eastAsia" w:ascii="仿宋_GB2312" w:hAnsi="仿宋" w:eastAsia="仿宋_GB2312" w:cs="仿宋"/>
          <w:color w:val="000000"/>
          <w:sz w:val="32"/>
          <w:szCs w:val="32"/>
        </w:rPr>
        <w:t>对获奖面大于标准获奖面，即一等奖次超过</w:t>
      </w:r>
      <w:r>
        <w:rPr>
          <w:rFonts w:ascii="仿宋_GB2312" w:hAnsi="仿宋" w:eastAsia="仿宋_GB2312" w:cs="仿宋"/>
          <w:color w:val="000000"/>
          <w:sz w:val="32"/>
          <w:szCs w:val="32"/>
        </w:rPr>
        <w:t>10%</w:t>
      </w:r>
      <w:r>
        <w:rPr>
          <w:rFonts w:hint="eastAsia" w:ascii="仿宋_GB2312" w:hAnsi="仿宋" w:eastAsia="仿宋_GB2312" w:cs="仿宋"/>
          <w:color w:val="000000"/>
          <w:sz w:val="32"/>
          <w:szCs w:val="32"/>
        </w:rPr>
        <w:t>或一、二、三等奖次累计超过</w:t>
      </w:r>
      <w:r>
        <w:rPr>
          <w:rFonts w:ascii="仿宋_GB2312" w:hAnsi="仿宋" w:eastAsia="仿宋_GB2312" w:cs="仿宋"/>
          <w:color w:val="000000"/>
          <w:sz w:val="32"/>
          <w:szCs w:val="32"/>
        </w:rPr>
        <w:t>45%</w:t>
      </w:r>
      <w:r>
        <w:rPr>
          <w:rFonts w:hint="eastAsia" w:ascii="仿宋_GB2312" w:hAnsi="仿宋" w:eastAsia="仿宋_GB2312" w:cs="仿宋"/>
          <w:color w:val="000000"/>
          <w:sz w:val="32"/>
          <w:szCs w:val="32"/>
        </w:rPr>
        <w:t>的竞赛，</w:t>
      </w:r>
      <w:r>
        <w:rPr>
          <w:rFonts w:hint="eastAsia" w:ascii="仿宋_GB2312" w:hAnsi="仿宋" w:eastAsia="仿宋_GB2312" w:cs="仿宋"/>
          <w:color w:val="000000"/>
          <w:sz w:val="32"/>
          <w:szCs w:val="32"/>
          <w:lang w:val="en-US" w:eastAsia="zh-CN"/>
        </w:rPr>
        <w:t>师生奖励</w:t>
      </w:r>
      <w:r>
        <w:rPr>
          <w:rFonts w:hint="eastAsia" w:ascii="仿宋_GB2312" w:hAnsi="仿宋" w:eastAsia="仿宋_GB2312" w:cs="仿宋"/>
          <w:color w:val="000000"/>
          <w:sz w:val="32"/>
          <w:szCs w:val="32"/>
        </w:rPr>
        <w:t>按标准的</w:t>
      </w:r>
      <w:r>
        <w:rPr>
          <w:rFonts w:ascii="仿宋_GB2312" w:hAnsi="仿宋" w:eastAsia="仿宋_GB2312" w:cs="仿宋"/>
          <w:color w:val="000000"/>
          <w:sz w:val="32"/>
          <w:szCs w:val="32"/>
        </w:rPr>
        <w:t>80%</w:t>
      </w:r>
      <w:r>
        <w:rPr>
          <w:rFonts w:hint="eastAsia" w:ascii="仿宋_GB2312" w:hAnsi="仿宋" w:eastAsia="仿宋_GB2312" w:cs="仿宋"/>
          <w:color w:val="000000"/>
          <w:sz w:val="32"/>
          <w:szCs w:val="32"/>
        </w:rPr>
        <w:t>发放。经过省级选拔后推荐参加的国家竞赛赛项除外。</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lang w:val="en-US" w:eastAsia="zh-CN"/>
        </w:rPr>
      </w:pPr>
      <w:r>
        <w:rPr>
          <w:rFonts w:hint="eastAsia" w:ascii="黑体" w:hAnsi="黑体" w:eastAsia="黑体" w:cs="黑体fal"/>
          <w:color w:val="000000"/>
          <w:sz w:val="32"/>
          <w:szCs w:val="32"/>
          <w:lang w:val="en-US" w:eastAsia="zh-CN"/>
        </w:rPr>
        <w:t>第二十七条</w:t>
      </w:r>
      <w:r>
        <w:rPr>
          <w:rFonts w:hint="eastAsia" w:ascii="仿宋_GB2312" w:hAnsi="仿宋" w:eastAsia="仿宋_GB2312" w:cs="仿宋"/>
          <w:color w:val="000000"/>
          <w:sz w:val="32"/>
          <w:szCs w:val="32"/>
          <w:lang w:val="en-US" w:eastAsia="zh-CN"/>
        </w:rPr>
        <w:t xml:space="preserve"> 主办单位由政府部门委托相关机构组织的赛项，竞赛级别依次降低一个级别进行奖励。</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bCs/>
          <w:color w:val="000000"/>
          <w:sz w:val="32"/>
          <w:szCs w:val="32"/>
          <w:lang w:val="en-US" w:eastAsia="zh-CN"/>
        </w:rPr>
      </w:pPr>
      <w:r>
        <w:rPr>
          <w:rFonts w:hint="eastAsia" w:ascii="黑体" w:hAnsi="黑体" w:eastAsia="黑体" w:cs="黑体fal"/>
          <w:color w:val="000000"/>
          <w:sz w:val="32"/>
          <w:szCs w:val="32"/>
          <w:lang w:val="en-US" w:eastAsia="zh-CN"/>
        </w:rPr>
        <w:t>第二十八条</w:t>
      </w:r>
      <w:r>
        <w:rPr>
          <w:rFonts w:hint="eastAsia" w:ascii="仿宋_GB2312" w:hAnsi="仿宋" w:eastAsia="仿宋_GB2312" w:cs="仿宋"/>
          <w:color w:val="000000"/>
          <w:sz w:val="32"/>
          <w:szCs w:val="32"/>
          <w:lang w:val="en-US" w:eastAsia="zh-CN"/>
        </w:rPr>
        <w:t xml:space="preserve"> 同一赛项</w:t>
      </w:r>
      <w:r>
        <w:rPr>
          <w:rFonts w:hint="eastAsia" w:ascii="仿宋_GB2312" w:hAnsi="仿宋" w:eastAsia="仿宋_GB2312" w:cs="仿宋"/>
          <w:color w:val="000000"/>
          <w:sz w:val="32"/>
          <w:szCs w:val="32"/>
        </w:rPr>
        <w:t>当年进行不同级别竞赛获得多类奖励的不作累计。同一参赛作品参加各种赛事获得不同等级的奖项，一个项目既有单项奖又有团体奖</w:t>
      </w:r>
      <w:r>
        <w:rPr>
          <w:rFonts w:ascii="仿宋_GB2312" w:hAnsi="仿宋" w:eastAsia="仿宋_GB2312" w:cs="仿宋"/>
          <w:color w:val="000000"/>
          <w:sz w:val="32"/>
          <w:szCs w:val="32"/>
        </w:rPr>
        <w:t>,</w:t>
      </w:r>
      <w:r>
        <w:rPr>
          <w:rFonts w:hint="eastAsia" w:ascii="仿宋_GB2312" w:hAnsi="仿宋" w:eastAsia="仿宋_GB2312" w:cs="仿宋"/>
          <w:color w:val="000000"/>
          <w:sz w:val="32"/>
          <w:szCs w:val="32"/>
        </w:rPr>
        <w:t>只计其中最高奖项，不累计奖励。</w:t>
      </w:r>
      <w:r>
        <w:rPr>
          <w:rFonts w:hint="eastAsia" w:ascii="仿宋_GB2312" w:hAnsi="仿宋" w:eastAsia="仿宋_GB2312" w:cs="仿宋"/>
          <w:color w:val="000000"/>
          <w:sz w:val="32"/>
          <w:szCs w:val="32"/>
          <w:highlight w:val="cyan"/>
          <w:lang w:val="en-US" w:eastAsia="zh-CN"/>
        </w:rPr>
        <w:t>未进入</w:t>
      </w:r>
      <w:r>
        <w:rPr>
          <w:rFonts w:hint="eastAsia" w:ascii="仿宋_GB2312" w:hAnsi="仿宋" w:eastAsia="仿宋_GB2312" w:cs="仿宋"/>
          <w:bCs/>
          <w:color w:val="000000"/>
          <w:sz w:val="32"/>
          <w:szCs w:val="32"/>
          <w:highlight w:val="cyan"/>
          <w:lang w:val="en-US" w:eastAsia="zh-CN"/>
        </w:rPr>
        <w:t>高校综合考核认定目录的赛项，只奖励同赛项的最高奖一项</w:t>
      </w:r>
      <w:r>
        <w:rPr>
          <w:rFonts w:hint="eastAsia" w:ascii="仿宋_GB2312" w:hAnsi="仿宋" w:eastAsia="仿宋_GB2312" w:cs="仿宋"/>
          <w:bCs/>
          <w:color w:val="000000"/>
          <w:sz w:val="32"/>
          <w:szCs w:val="32"/>
          <w:lang w:val="en-US" w:eastAsia="zh-CN"/>
        </w:rPr>
        <w:t>。</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rPr>
      </w:pPr>
      <w:r>
        <w:rPr>
          <w:rFonts w:hint="eastAsia" w:ascii="黑体" w:hAnsi="黑体" w:eastAsia="黑体" w:cs="黑体fal"/>
          <w:color w:val="000000"/>
          <w:sz w:val="32"/>
          <w:szCs w:val="32"/>
          <w:lang w:val="en-US" w:eastAsia="zh-CN"/>
        </w:rPr>
        <w:t>第二十九条</w:t>
      </w:r>
      <w:r>
        <w:rPr>
          <w:rFonts w:hint="eastAsia" w:ascii="仿宋_GB2312" w:hAnsi="仿宋" w:eastAsia="仿宋_GB2312" w:cs="仿宋"/>
          <w:bCs/>
          <w:color w:val="000000"/>
          <w:sz w:val="32"/>
          <w:szCs w:val="32"/>
          <w:lang w:val="en-US" w:eastAsia="zh-CN"/>
        </w:rPr>
        <w:t xml:space="preserve"> </w:t>
      </w:r>
      <w:r>
        <w:rPr>
          <w:rFonts w:hint="eastAsia" w:ascii="仿宋_GB2312" w:hAnsi="仿宋" w:eastAsia="仿宋_GB2312" w:cs="仿宋"/>
          <w:color w:val="000000"/>
          <w:sz w:val="32"/>
          <w:szCs w:val="32"/>
        </w:rPr>
        <w:t>未列入年度计划的竞赛项目，学院不予经费支持和奖励。</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本办法自颁布之日起施行，由学院教务处负责解释，原温职院学〔</w:t>
      </w:r>
      <w:r>
        <w:rPr>
          <w:rFonts w:ascii="仿宋_GB2312" w:hAnsi="仿宋" w:eastAsia="仿宋_GB2312" w:cs="仿宋"/>
          <w:color w:val="000000"/>
          <w:sz w:val="32"/>
          <w:szCs w:val="32"/>
        </w:rPr>
        <w:t>201</w:t>
      </w:r>
      <w:r>
        <w:rPr>
          <w:rFonts w:hint="eastAsia" w:ascii="仿宋_GB2312" w:hAnsi="仿宋" w:eastAsia="仿宋_GB2312" w:cs="仿宋"/>
          <w:color w:val="000000"/>
          <w:sz w:val="32"/>
          <w:szCs w:val="32"/>
          <w:lang w:val="en-US" w:eastAsia="zh-CN"/>
        </w:rPr>
        <w:t>9</w:t>
      </w:r>
      <w:r>
        <w:rPr>
          <w:rFonts w:hint="eastAsia" w:ascii="仿宋_GB2312" w:hAnsi="仿宋" w:eastAsia="仿宋_GB2312" w:cs="仿宋"/>
          <w:color w:val="000000"/>
          <w:sz w:val="32"/>
          <w:szCs w:val="32"/>
        </w:rPr>
        <w:t>〕</w:t>
      </w:r>
      <w:r>
        <w:rPr>
          <w:rFonts w:ascii="仿宋_GB2312" w:hAnsi="仿宋" w:eastAsia="仿宋_GB2312" w:cs="仿宋"/>
          <w:color w:val="000000"/>
          <w:sz w:val="32"/>
          <w:szCs w:val="32"/>
        </w:rPr>
        <w:t>12</w:t>
      </w:r>
      <w:r>
        <w:rPr>
          <w:rFonts w:hint="eastAsia" w:ascii="仿宋_GB2312" w:hAnsi="仿宋" w:eastAsia="仿宋_GB2312" w:cs="仿宋"/>
          <w:color w:val="000000"/>
          <w:sz w:val="32"/>
          <w:szCs w:val="32"/>
          <w:lang w:val="en-US" w:eastAsia="zh-CN"/>
        </w:rPr>
        <w:t>3</w:t>
      </w:r>
      <w:r>
        <w:rPr>
          <w:rFonts w:hint="eastAsia" w:ascii="仿宋_GB2312" w:hAnsi="仿宋" w:eastAsia="仿宋_GB2312" w:cs="仿宋"/>
          <w:color w:val="000000"/>
          <w:sz w:val="32"/>
          <w:szCs w:val="32"/>
        </w:rPr>
        <w:t>号文件同时废止。</w:t>
      </w: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default" w:ascii="仿宋_GB2312" w:hAnsi="仿宋" w:eastAsia="仿宋_GB2312" w:cs="仿宋"/>
          <w:bCs/>
          <w:color w:val="000000"/>
          <w:sz w:val="32"/>
          <w:szCs w:val="32"/>
          <w:lang w:val="en-US" w:eastAsia="zh-CN"/>
        </w:rPr>
      </w:pP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default" w:ascii="仿宋_GB2312" w:hAnsi="仿宋" w:eastAsia="仿宋_GB2312" w:cs="仿宋"/>
          <w:color w:val="000000"/>
          <w:sz w:val="32"/>
          <w:szCs w:val="32"/>
          <w:lang w:val="en-US" w:eastAsia="zh-CN"/>
        </w:rPr>
      </w:pPr>
    </w:p>
    <w:p>
      <w:pPr>
        <w:keepNext w:val="0"/>
        <w:keepLines w:val="0"/>
        <w:pageBreakBefore w:val="0"/>
        <w:kinsoku/>
        <w:wordWrap/>
        <w:overflowPunct/>
        <w:topLinePunct w:val="0"/>
        <w:autoSpaceDN/>
        <w:bidi w:val="0"/>
        <w:adjustRightInd/>
        <w:snapToGrid/>
        <w:spacing w:line="360" w:lineRule="auto"/>
        <w:ind w:firstLine="640" w:firstLineChars="200"/>
        <w:textAlignment w:val="auto"/>
        <w:rPr>
          <w:rFonts w:hint="default" w:ascii="仿宋_GB2312" w:hAnsi="仿宋" w:eastAsia="仿宋_GB2312" w:cs="仿宋"/>
          <w:color w:val="000000"/>
          <w:sz w:val="32"/>
          <w:szCs w:val="32"/>
          <w:lang w:val="en-US" w:eastAsia="zh-CN"/>
        </w:rPr>
      </w:pPr>
    </w:p>
    <w:p>
      <w:pPr>
        <w:keepNext w:val="0"/>
        <w:keepLines w:val="0"/>
        <w:pageBreakBefore w:val="0"/>
        <w:tabs>
          <w:tab w:val="left" w:pos="7200"/>
        </w:tabs>
        <w:kinsoku/>
        <w:wordWrap/>
        <w:overflowPunct/>
        <w:topLinePunct w:val="0"/>
        <w:autoSpaceDN/>
        <w:bidi w:val="0"/>
        <w:adjustRightInd/>
        <w:snapToGrid/>
        <w:spacing w:line="360" w:lineRule="auto"/>
        <w:ind w:firstLine="4160" w:firstLineChars="1300"/>
        <w:jc w:val="right"/>
        <w:textAlignment w:val="auto"/>
        <w:rPr>
          <w:rFonts w:ascii="仿宋_GB2312" w:hAnsi="仿宋" w:eastAsia="仿宋_GB2312" w:cs="仿宋"/>
          <w:color w:val="000000"/>
          <w:kern w:val="0"/>
          <w:sz w:val="32"/>
          <w:szCs w:val="32"/>
        </w:rPr>
      </w:pPr>
      <w:r>
        <w:rPr>
          <w:rFonts w:hint="eastAsia" w:ascii="仿宋_GB2312" w:hAnsi="仿宋" w:eastAsia="仿宋_GB2312" w:cs="仿宋"/>
          <w:color w:val="000000"/>
          <w:kern w:val="0"/>
          <w:sz w:val="32"/>
          <w:szCs w:val="32"/>
        </w:rPr>
        <w:t>温州职业技术学院</w:t>
      </w:r>
    </w:p>
    <w:p>
      <w:pPr>
        <w:keepNext w:val="0"/>
        <w:keepLines w:val="0"/>
        <w:pageBreakBefore w:val="0"/>
        <w:kinsoku/>
        <w:wordWrap/>
        <w:overflowPunct/>
        <w:topLinePunct w:val="0"/>
        <w:autoSpaceDN/>
        <w:bidi w:val="0"/>
        <w:adjustRightInd/>
        <w:snapToGrid/>
        <w:spacing w:line="360" w:lineRule="auto"/>
        <w:ind w:firstLine="4160" w:firstLineChars="1300"/>
        <w:jc w:val="right"/>
        <w:textAlignment w:val="auto"/>
        <w:rPr>
          <w:rFonts w:ascii="黑体" w:hAnsi="黑体" w:eastAsia="黑体"/>
          <w:color w:val="000000"/>
          <w:sz w:val="32"/>
          <w:szCs w:val="32"/>
        </w:rPr>
      </w:pPr>
      <w:r>
        <w:rPr>
          <w:rFonts w:ascii="仿宋_GB2312" w:hAnsi="仿宋" w:eastAsia="仿宋_GB2312" w:cs="仿宋"/>
          <w:color w:val="000000"/>
          <w:kern w:val="0"/>
          <w:sz w:val="32"/>
          <w:szCs w:val="32"/>
        </w:rPr>
        <w:t>20</w:t>
      </w:r>
      <w:r>
        <w:rPr>
          <w:rFonts w:hint="eastAsia" w:ascii="仿宋_GB2312" w:hAnsi="仿宋" w:eastAsia="仿宋_GB2312" w:cs="仿宋"/>
          <w:color w:val="000000"/>
          <w:kern w:val="0"/>
          <w:sz w:val="32"/>
          <w:szCs w:val="32"/>
          <w:lang w:val="en-US" w:eastAsia="zh-CN"/>
        </w:rPr>
        <w:t>24</w:t>
      </w:r>
      <w:r>
        <w:rPr>
          <w:rFonts w:hint="eastAsia" w:ascii="仿宋_GB2312" w:hAnsi="仿宋" w:eastAsia="仿宋_GB2312" w:cs="仿宋"/>
          <w:color w:val="000000"/>
          <w:kern w:val="0"/>
          <w:sz w:val="32"/>
          <w:szCs w:val="32"/>
        </w:rPr>
        <w:t>年</w:t>
      </w:r>
      <w:r>
        <w:rPr>
          <w:rFonts w:hint="eastAsia" w:ascii="仿宋_GB2312" w:hAnsi="仿宋" w:eastAsia="仿宋_GB2312" w:cs="仿宋"/>
          <w:color w:val="000000"/>
          <w:kern w:val="0"/>
          <w:sz w:val="32"/>
          <w:szCs w:val="32"/>
          <w:lang w:val="en-US" w:eastAsia="zh-CN"/>
        </w:rPr>
        <w:t>2</w:t>
      </w:r>
      <w:r>
        <w:rPr>
          <w:rFonts w:hint="eastAsia" w:ascii="仿宋_GB2312" w:hAnsi="仿宋" w:eastAsia="仿宋_GB2312" w:cs="仿宋"/>
          <w:color w:val="000000"/>
          <w:kern w:val="0"/>
          <w:sz w:val="32"/>
          <w:szCs w:val="32"/>
        </w:rPr>
        <w:t>月</w:t>
      </w:r>
      <w:r>
        <w:rPr>
          <w:rFonts w:hint="eastAsia" w:ascii="仿宋_GB2312" w:hAnsi="仿宋" w:eastAsia="仿宋_GB2312" w:cs="仿宋"/>
          <w:color w:val="000000"/>
          <w:kern w:val="0"/>
          <w:sz w:val="32"/>
          <w:szCs w:val="32"/>
          <w:lang w:val="en-US" w:eastAsia="zh-CN"/>
        </w:rPr>
        <w:t>29</w:t>
      </w:r>
      <w:r>
        <w:rPr>
          <w:rFonts w:hint="eastAsia" w:ascii="仿宋_GB2312" w:hAnsi="仿宋" w:eastAsia="仿宋_GB2312" w:cs="仿宋"/>
          <w:color w:val="000000"/>
          <w:kern w:val="0"/>
          <w:sz w:val="32"/>
          <w:szCs w:val="32"/>
        </w:rPr>
        <w:t>日</w:t>
      </w:r>
    </w:p>
    <w:tbl>
      <w:tblPr>
        <w:tblStyle w:val="5"/>
        <w:tblpPr w:leftFromText="180" w:rightFromText="180" w:vertAnchor="page" w:horzAnchor="margin" w:tblpXSpec="center" w:tblpY="14077"/>
        <w:tblW w:w="8610" w:type="dxa"/>
        <w:tblInd w:w="0" w:type="dxa"/>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610"/>
      </w:tblGrid>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dxa"/>
          <w:trHeight w:val="578" w:hRule="atLeast"/>
        </w:trPr>
        <w:tc>
          <w:tcPr>
            <w:tcW w:w="8610" w:type="dxa"/>
            <w:tcBorders>
              <w:top w:val="single" w:color="auto" w:sz="18" w:space="0"/>
              <w:left w:val="nil"/>
              <w:bottom w:val="single" w:color="auto" w:sz="4" w:space="0"/>
              <w:right w:val="nil"/>
            </w:tcBorders>
            <w:noWrap w:val="0"/>
            <w:vAlign w:val="center"/>
          </w:tcPr>
          <w:p>
            <w:pPr>
              <w:keepNext w:val="0"/>
              <w:keepLines w:val="0"/>
              <w:pageBreakBefore w:val="0"/>
              <w:kinsoku/>
              <w:wordWrap/>
              <w:overflowPunct/>
              <w:topLinePunct w:val="0"/>
              <w:autoSpaceDN/>
              <w:bidi w:val="0"/>
              <w:adjustRightInd/>
              <w:snapToGrid/>
              <w:spacing w:line="360" w:lineRule="auto"/>
              <w:ind w:firstLine="280" w:firstLineChars="100"/>
              <w:textAlignment w:val="auto"/>
              <w:rPr>
                <w:rFonts w:ascii="仿宋_GB2312" w:eastAsia="仿宋_GB2312"/>
                <w:color w:val="000000"/>
                <w:sz w:val="28"/>
                <w:szCs w:val="28"/>
              </w:rPr>
            </w:pPr>
            <w:r>
              <w:rPr>
                <w:rFonts w:hint="eastAsia" w:ascii="仿宋_GB2312" w:hAnsi="宋体" w:eastAsia="仿宋_GB2312"/>
                <w:color w:val="000000"/>
                <w:sz w:val="28"/>
                <w:szCs w:val="28"/>
              </w:rPr>
              <w:t>发：各处室、二级学院。</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dxa"/>
          <w:trHeight w:val="613" w:hRule="atLeast"/>
        </w:trPr>
        <w:tc>
          <w:tcPr>
            <w:tcW w:w="8610" w:type="dxa"/>
            <w:tcBorders>
              <w:top w:val="single" w:color="auto" w:sz="4" w:space="0"/>
              <w:left w:val="nil"/>
              <w:bottom w:val="single" w:color="auto" w:sz="18" w:space="0"/>
              <w:right w:val="nil"/>
            </w:tcBorders>
            <w:noWrap w:val="0"/>
            <w:vAlign w:val="center"/>
          </w:tcPr>
          <w:p>
            <w:pPr>
              <w:keepNext w:val="0"/>
              <w:keepLines w:val="0"/>
              <w:pageBreakBefore w:val="0"/>
              <w:kinsoku/>
              <w:wordWrap/>
              <w:overflowPunct/>
              <w:topLinePunct w:val="0"/>
              <w:autoSpaceDN/>
              <w:bidi w:val="0"/>
              <w:adjustRightInd/>
              <w:snapToGrid/>
              <w:spacing w:line="360" w:lineRule="auto"/>
              <w:ind w:firstLine="280" w:firstLineChars="100"/>
              <w:textAlignment w:val="auto"/>
              <w:rPr>
                <w:rFonts w:ascii="仿宋_GB2312" w:eastAsia="仿宋_GB2312"/>
                <w:color w:val="000000"/>
                <w:sz w:val="28"/>
                <w:szCs w:val="28"/>
              </w:rPr>
            </w:pPr>
            <w:r>
              <w:rPr>
                <w:rFonts w:hint="eastAsia" w:ascii="仿宋_GB2312" w:eastAsia="仿宋_GB2312"/>
                <w:color w:val="000000"/>
                <w:sz w:val="28"/>
                <w:szCs w:val="28"/>
              </w:rPr>
              <w:t>温州职业技术学院办公室</w:t>
            </w:r>
            <w:r>
              <w:rPr>
                <w:rFonts w:ascii="仿宋_GB2312" w:eastAsia="仿宋_GB2312"/>
                <w:color w:val="000000"/>
                <w:sz w:val="28"/>
                <w:szCs w:val="28"/>
              </w:rPr>
              <w:t xml:space="preserve">             20</w:t>
            </w:r>
            <w:r>
              <w:rPr>
                <w:rFonts w:hint="eastAsia" w:ascii="仿宋_GB2312" w:eastAsia="仿宋_GB2312"/>
                <w:color w:val="000000"/>
                <w:sz w:val="28"/>
                <w:szCs w:val="28"/>
                <w:lang w:val="en-US" w:eastAsia="zh-CN"/>
              </w:rPr>
              <w:t>24</w:t>
            </w:r>
            <w:r>
              <w:rPr>
                <w:rFonts w:hint="eastAsia" w:ascii="仿宋_GB2312" w:eastAsia="仿宋_GB2312"/>
                <w:color w:val="000000"/>
                <w:sz w:val="28"/>
                <w:szCs w:val="28"/>
              </w:rPr>
              <w:t>年</w:t>
            </w:r>
            <w:r>
              <w:rPr>
                <w:rFonts w:hint="eastAsia" w:ascii="仿宋_GB2312" w:eastAsia="仿宋_GB2312"/>
                <w:color w:val="000000"/>
                <w:sz w:val="28"/>
                <w:szCs w:val="28"/>
                <w:lang w:val="en-US" w:eastAsia="zh-CN"/>
              </w:rPr>
              <w:t>2</w:t>
            </w:r>
            <w:r>
              <w:rPr>
                <w:rFonts w:hint="eastAsia" w:ascii="仿宋_GB2312" w:eastAsia="仿宋_GB2312"/>
                <w:color w:val="000000"/>
                <w:sz w:val="28"/>
                <w:szCs w:val="28"/>
              </w:rPr>
              <w:t>月</w:t>
            </w:r>
            <w:r>
              <w:rPr>
                <w:rFonts w:hint="eastAsia" w:ascii="仿宋_GB2312" w:eastAsia="仿宋_GB2312"/>
                <w:color w:val="000000"/>
                <w:sz w:val="28"/>
                <w:szCs w:val="28"/>
                <w:lang w:val="en-US" w:eastAsia="zh-CN"/>
              </w:rPr>
              <w:t>29</w:t>
            </w:r>
            <w:r>
              <w:rPr>
                <w:rFonts w:hint="eastAsia" w:ascii="仿宋_GB2312" w:eastAsia="仿宋_GB2312"/>
                <w:color w:val="000000"/>
                <w:sz w:val="28"/>
                <w:szCs w:val="28"/>
              </w:rPr>
              <w:t>日印发</w:t>
            </w:r>
          </w:p>
        </w:tc>
      </w:tr>
      <w:bookmarkEnd w:id="0"/>
    </w:tbl>
    <w:p>
      <w:pPr>
        <w:keepNext w:val="0"/>
        <w:keepLines w:val="0"/>
        <w:pageBreakBefore w:val="0"/>
        <w:kinsoku/>
        <w:wordWrap/>
        <w:overflowPunct/>
        <w:topLinePunct w:val="0"/>
        <w:autoSpaceDN/>
        <w:bidi w:val="0"/>
        <w:adjustRightInd/>
        <w:snapToGrid/>
        <w:spacing w:line="360" w:lineRule="auto"/>
        <w:textAlignment w:val="auto"/>
        <w:rPr>
          <w:rFonts w:hint="default" w:eastAsia="宋体fal"/>
          <w:lang w:val="en-US" w:eastAsia="zh-CN"/>
        </w:rPr>
      </w:pPr>
      <w:r>
        <w:rPr>
          <w:rFonts w:hint="eastAsia"/>
          <w:lang w:val="en-US" w:eastAsia="zh-CN"/>
        </w:rPr>
        <w:t>抄送：计划财务处、学生工作部（团委）、招生就业处、国际合作交流处、各二级学院。</w:t>
      </w:r>
    </w:p>
    <w:sectPr>
      <w:footerReference r:id="rId4" w:type="first"/>
      <w:footerReference r:id="rId3" w:type="default"/>
      <w:pgSz w:w="11906" w:h="16838"/>
      <w:pgMar w:top="1383" w:right="1800" w:bottom="1440" w:left="1800"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645D950-A002-484C-B08C-35F13E77A3A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fal">
    <w:altName w:val="微软雅黑"/>
    <w:panose1 w:val="00000000000000000000"/>
    <w:charset w:val="86"/>
    <w:family w:val="auto"/>
    <w:pitch w:val="default"/>
    <w:sig w:usb0="00000001" w:usb1="080E0000" w:usb2="00000010" w:usb3="00000000" w:csb0="00040000" w:csb1="00000000"/>
    <w:embedRegular r:id="rId2" w:fontKey="{4E8D3B80-70DF-48D8-A070-8290C5E4D562}"/>
  </w:font>
  <w:font w:name="方正小标宋简体">
    <w:panose1 w:val="02000000000000000000"/>
    <w:charset w:val="86"/>
    <w:family w:val="script"/>
    <w:pitch w:val="default"/>
    <w:sig w:usb0="00000001" w:usb1="08000000" w:usb2="00000000" w:usb3="00000000" w:csb0="00040000" w:csb1="00000000"/>
    <w:embedRegular r:id="rId3" w:fontKey="{FC5C9BC5-4A61-4955-ACFC-CCD7D386380F}"/>
  </w:font>
  <w:font w:name="仿宋_GB2312">
    <w:panose1 w:val="02010609030101010101"/>
    <w:charset w:val="86"/>
    <w:family w:val="modern"/>
    <w:pitch w:val="default"/>
    <w:sig w:usb0="00000001" w:usb1="080E0000" w:usb2="00000000" w:usb3="00000000" w:csb0="00040000" w:csb1="00000000"/>
    <w:embedRegular r:id="rId4" w:fontKey="{D238EFDF-0B83-442A-9920-FA3D63601851}"/>
  </w:font>
  <w:font w:name="黑体fal">
    <w:altName w:val="微软雅黑"/>
    <w:panose1 w:val="00000000000000000000"/>
    <w:charset w:val="86"/>
    <w:family w:val="auto"/>
    <w:pitch w:val="default"/>
    <w:sig w:usb0="00000001" w:usb1="080E0000" w:usb2="00000010" w:usb3="00000000" w:csb0="00040000" w:csb1="00000000"/>
    <w:embedRegular r:id="rId5" w:fontKey="{967C1D7E-762A-4980-A825-6B2485D07189}"/>
  </w:font>
  <w:font w:name="仿宋">
    <w:panose1 w:val="02010609060101010101"/>
    <w:charset w:val="86"/>
    <w:family w:val="modern"/>
    <w:pitch w:val="default"/>
    <w:sig w:usb0="800002BF" w:usb1="38CF7CFA" w:usb2="00000016" w:usb3="00000000" w:csb0="00040001" w:csb1="00000000"/>
    <w:embedRegular r:id="rId6" w:fontKey="{21C3DCD7-E05E-49AB-A2FA-9B33BDFD7FB1}"/>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fldChar w:fldCharType="begin"/>
                          </w:r>
                          <w:r>
                            <w:instrText xml:space="preserve"> PAGE  \* MERGEFORMAT </w:instrText>
                          </w:r>
                          <w:r>
                            <w:fldChar w:fldCharType="separate"/>
                          </w:r>
                          <w:r>
                            <w:t>- 2 -</w:t>
                          </w:r>
                          <w:r>
                            <w:fldChar w:fldCharType="end"/>
                          </w:r>
                        </w:p>
                      </w:txbxContent>
                    </wps:txbx>
                    <wps:bodyPr vert="horz" wrap="none" lIns="0" tIns="0" rIns="0" bIns="0" anchor="t" anchorCtr="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5sgFpd8BAAC/AwAADgAAAAAA&#10;AAABACAAAAAeAQAAZHJzL2Uyb0RvYy54bWxQSwUGAAAAAAYABgBZAQAAbwU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- 2 -</w:t>
                    </w:r>
                    <w:r>
                      <w:fldChar w:fldCharType="end"/>
                    </w:r>
                  </w:p>
                </w:txbxContent>
              </v:textbox>
            </v:shape>
          </w:pict>
        </mc:Fallback>
      </mc:AlternateContent>
    </w:r>
    <w:r>
      <w:rPr>
        <w:lang/>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rPr>
                              <w:rStyle w:val="7"/>
                            </w:rPr>
                          </w:pPr>
                        </w:p>
                      </w:txbxContent>
                    </wps:txbx>
                    <wps:bodyPr wrap="none" lIns="0" tIns="0" rIns="0" bIns="0" upright="1">
                      <a:spAutoFit/>
                    </wps:bodyPr>
                  </wps:wsp>
                </a:graphicData>
              </a:graphic>
            </wp:anchor>
          </w:drawing>
        </mc:Choice>
        <mc:Fallback>
          <w:pict>
            <v:shape id="文本框 4"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s0lY7tAAAAAFAQAADwAAAAAAAAABACAAAAAiAAAAZHJzL2Rv&#10;d25yZXYueG1sUEsBAhQAFAAAAAgAh07iQC2KqUrQAQAAogMAAA4AAAAAAAAAAQAgAAAAHwEAAGRy&#10;cy9lMm9Eb2MueG1sUEsFBgAAAAAGAAYAWQEAAGEFAAAAAA==&#10;">
              <v:fill on="f" focussize="0,0"/>
              <v:stroke on="f" weight="0.5pt"/>
              <v:imagedata o:title=""/>
              <o:lock v:ext="edit" aspectratio="f"/>
              <v:textbox inset="0mm,0mm,0mm,0mm" style="mso-fit-shape-to-text:t;">
                <w:txbxContent>
                  <w:p>
                    <w:pPr>
                      <w:rPr>
                        <w:rStyle w:val="7"/>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fldChar w:fldCharType="begin"/>
                          </w:r>
                          <w:r>
                            <w:instrText xml:space="preserve"> PAGE  \* MERGEFORMAT </w:instrText>
                          </w:r>
                          <w:r>
                            <w:fldChar w:fldCharType="separate"/>
                          </w:r>
                          <w:r>
                            <w:t>- 1 -</w:t>
                          </w:r>
                          <w:r>
                            <w:fldChar w:fldCharType="end"/>
                          </w:r>
                        </w:p>
                      </w:txbxContent>
                    </wps:txbx>
                    <wps:bodyPr vert="horz" wrap="none" lIns="0" tIns="0" rIns="0" bIns="0" anchor="t" anchorCtr="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M1QCQN8BAAC/AwAADgAAAAAA&#10;AAABACAAAAAeAQAAZHJzL2Uyb0RvYy54bWxQSwUGAAAAAAYABgBZAQAAbwU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- 1 -</w:t>
                    </w:r>
                    <w:r>
                      <w:fldChar w:fldCharType="end"/>
                    </w:r>
                  </w:p>
                </w:txbxContent>
              </v:textbox>
            </v:shape>
          </w:pict>
        </mc:Fallback>
      </mc:AlternateContent>
    </w:r>
    <w:r>
      <w:rPr>
        <w:lang/>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3"/>
                            <w:rPr>
                              <w:rFonts w:hint="eastAsia"/>
                            </w:rPr>
                          </w:pPr>
                        </w:p>
                      </w:txbxContent>
                    </wps:txbx>
                    <wps:bodyPr wrap="none" lIns="0" tIns="0" rIns="0" bIns="0" upright="1">
                      <a:spAutoFit/>
                    </wps:bodyPr>
                  </wps:wsp>
                </a:graphicData>
              </a:graphic>
            </wp:anchor>
          </w:drawing>
        </mc:Choice>
        <mc:Fallback>
          <w:pict>
            <v:shape id="文本框 5"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D6TJ3V0QEAAKIDAAAOAAAAAAAAAAEAIAAAAB8BAABk&#10;cnMvZTJvRG9jLnhtbFBLBQYAAAAABgAGAFkBAABiBQAAAAA=&#10;">
              <v:fill on="f" focussize="0,0"/>
              <v:stroke on="f" weight="0.5pt"/>
              <v:imagedata o:title=""/>
              <o:lock v:ext="edit" aspectratio="f"/>
              <v:textbox inset="0mm,0mm,0mm,0mm" style="mso-fit-shape-to-text:t;">
                <w:txbxContent>
                  <w:p>
                    <w:pPr>
                      <w:pStyle w:val="3"/>
                      <w:rPr>
                        <w:rFonts w:hint="eastAsia"/>
                      </w:rPr>
                    </w:pP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wMDc4ODE0OTU5YWNmOTcwY2EwOTQxZjg0NWMyZDEifQ=="/>
  </w:docVars>
  <w:rsids>
    <w:rsidRoot w:val="000463A3"/>
    <w:rsid w:val="000463A3"/>
    <w:rsid w:val="000B6555"/>
    <w:rsid w:val="003B73C3"/>
    <w:rsid w:val="004F1399"/>
    <w:rsid w:val="0083000B"/>
    <w:rsid w:val="00935749"/>
    <w:rsid w:val="00953FAC"/>
    <w:rsid w:val="00993043"/>
    <w:rsid w:val="00A74E34"/>
    <w:rsid w:val="00A8613E"/>
    <w:rsid w:val="00BF4374"/>
    <w:rsid w:val="00C034EA"/>
    <w:rsid w:val="00C309A8"/>
    <w:rsid w:val="00CC11B9"/>
    <w:rsid w:val="00E072EF"/>
    <w:rsid w:val="00EA137B"/>
    <w:rsid w:val="00EE082B"/>
    <w:rsid w:val="00EE134D"/>
    <w:rsid w:val="00FF7642"/>
    <w:rsid w:val="01D55BBE"/>
    <w:rsid w:val="023A4BFB"/>
    <w:rsid w:val="034D14EA"/>
    <w:rsid w:val="04C64E6C"/>
    <w:rsid w:val="076C6507"/>
    <w:rsid w:val="07D77390"/>
    <w:rsid w:val="08F875BE"/>
    <w:rsid w:val="0A1C5FED"/>
    <w:rsid w:val="0AFF4C34"/>
    <w:rsid w:val="0B5F3B76"/>
    <w:rsid w:val="0C0B43EA"/>
    <w:rsid w:val="0F2056E1"/>
    <w:rsid w:val="109A0CCD"/>
    <w:rsid w:val="10B4474A"/>
    <w:rsid w:val="11731ED8"/>
    <w:rsid w:val="12E55CC4"/>
    <w:rsid w:val="15E96C0C"/>
    <w:rsid w:val="164D0F49"/>
    <w:rsid w:val="16D0666A"/>
    <w:rsid w:val="18543201"/>
    <w:rsid w:val="1871105F"/>
    <w:rsid w:val="19306346"/>
    <w:rsid w:val="19AD1CFF"/>
    <w:rsid w:val="1A747163"/>
    <w:rsid w:val="1B332A5E"/>
    <w:rsid w:val="1C16002F"/>
    <w:rsid w:val="1CEC26FC"/>
    <w:rsid w:val="1D5D57EA"/>
    <w:rsid w:val="1E2C3B3A"/>
    <w:rsid w:val="1FBA2C56"/>
    <w:rsid w:val="20000E55"/>
    <w:rsid w:val="204432F6"/>
    <w:rsid w:val="220F17A9"/>
    <w:rsid w:val="245E7882"/>
    <w:rsid w:val="2475612A"/>
    <w:rsid w:val="2549584E"/>
    <w:rsid w:val="25DB7D8E"/>
    <w:rsid w:val="277F117F"/>
    <w:rsid w:val="295F3FC9"/>
    <w:rsid w:val="298218DA"/>
    <w:rsid w:val="2A5E151F"/>
    <w:rsid w:val="2B031F08"/>
    <w:rsid w:val="2C610E53"/>
    <w:rsid w:val="2D964B2C"/>
    <w:rsid w:val="2ED52630"/>
    <w:rsid w:val="2F797FA4"/>
    <w:rsid w:val="305D0902"/>
    <w:rsid w:val="31B823EA"/>
    <w:rsid w:val="34211739"/>
    <w:rsid w:val="390D2369"/>
    <w:rsid w:val="39311BAD"/>
    <w:rsid w:val="3B115942"/>
    <w:rsid w:val="3C0E0934"/>
    <w:rsid w:val="3F9D7F9C"/>
    <w:rsid w:val="40E00B11"/>
    <w:rsid w:val="42953817"/>
    <w:rsid w:val="43776D56"/>
    <w:rsid w:val="43B73E10"/>
    <w:rsid w:val="44FE6441"/>
    <w:rsid w:val="46971BE9"/>
    <w:rsid w:val="46DD6F01"/>
    <w:rsid w:val="48142DC6"/>
    <w:rsid w:val="48AE6D76"/>
    <w:rsid w:val="49044BE8"/>
    <w:rsid w:val="4B321FE1"/>
    <w:rsid w:val="4B6E5076"/>
    <w:rsid w:val="4BDC1E4C"/>
    <w:rsid w:val="4BE01CBF"/>
    <w:rsid w:val="4C5E6E26"/>
    <w:rsid w:val="4E404914"/>
    <w:rsid w:val="4EF70894"/>
    <w:rsid w:val="51312160"/>
    <w:rsid w:val="528B1ED6"/>
    <w:rsid w:val="52B23907"/>
    <w:rsid w:val="53204D14"/>
    <w:rsid w:val="53FB0F55"/>
    <w:rsid w:val="54B80829"/>
    <w:rsid w:val="54E16E47"/>
    <w:rsid w:val="56410818"/>
    <w:rsid w:val="573252CB"/>
    <w:rsid w:val="576E728D"/>
    <w:rsid w:val="58A106A5"/>
    <w:rsid w:val="58F702C5"/>
    <w:rsid w:val="59E7658C"/>
    <w:rsid w:val="59FF6175"/>
    <w:rsid w:val="5A366BCB"/>
    <w:rsid w:val="5A6A4DAE"/>
    <w:rsid w:val="5A8667D4"/>
    <w:rsid w:val="5AD07020"/>
    <w:rsid w:val="5C2F0079"/>
    <w:rsid w:val="5C9B6E8E"/>
    <w:rsid w:val="60FB67E2"/>
    <w:rsid w:val="62782477"/>
    <w:rsid w:val="6300118D"/>
    <w:rsid w:val="64887113"/>
    <w:rsid w:val="66AD290B"/>
    <w:rsid w:val="67A07D7A"/>
    <w:rsid w:val="6843382F"/>
    <w:rsid w:val="693E3CEF"/>
    <w:rsid w:val="69D871E5"/>
    <w:rsid w:val="6A116D0D"/>
    <w:rsid w:val="6A575068"/>
    <w:rsid w:val="6DFF1C9E"/>
    <w:rsid w:val="6E0B63F5"/>
    <w:rsid w:val="6F26325B"/>
    <w:rsid w:val="6F630B43"/>
    <w:rsid w:val="6F9603E0"/>
    <w:rsid w:val="71550503"/>
    <w:rsid w:val="71A566B9"/>
    <w:rsid w:val="72091924"/>
    <w:rsid w:val="728C7822"/>
    <w:rsid w:val="73F95436"/>
    <w:rsid w:val="757069E7"/>
    <w:rsid w:val="77274014"/>
    <w:rsid w:val="77FE5303"/>
    <w:rsid w:val="78D72AD0"/>
    <w:rsid w:val="79982FA7"/>
    <w:rsid w:val="7B7E09C7"/>
    <w:rsid w:val="7CD267D0"/>
    <w:rsid w:val="7D3A315F"/>
    <w:rsid w:val="7E000491"/>
    <w:rsid w:val="7FC5261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jc w:val="both"/>
    </w:pPr>
    <w:rPr>
      <w:rFonts w:eastAsia="宋体fal"/>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Balloon Text"/>
    <w:basedOn w:val="1"/>
    <w:link w:val="8"/>
    <w:semiHidden/>
    <w:uiPriority w:val="0"/>
    <w:rPr>
      <w:kern w:val="0"/>
      <w:sz w:val="18"/>
      <w:szCs w:val="18"/>
    </w:rPr>
  </w:style>
  <w:style w:type="paragraph" w:styleId="3">
    <w:name w:val="footer"/>
    <w:basedOn w:val="1"/>
    <w:link w:val="9"/>
    <w:uiPriority w:val="0"/>
    <w:pPr>
      <w:tabs>
        <w:tab w:val="center" w:pos="4153"/>
        <w:tab w:val="right" w:pos="8306"/>
      </w:tabs>
      <w:snapToGrid w:val="0"/>
      <w:jc w:val="left"/>
    </w:pPr>
    <w:rPr>
      <w:kern w:val="0"/>
      <w:sz w:val="18"/>
      <w:szCs w:val="18"/>
    </w:rPr>
  </w:style>
  <w:style w:type="paragraph" w:styleId="4">
    <w:name w:val="header"/>
    <w:basedOn w:val="1"/>
    <w:link w:val="10"/>
    <w:uiPriority w:val="0"/>
    <w:pPr>
      <w:pBdr>
        <w:bottom w:val="single" w:color="auto" w:sz="6" w:space="1"/>
      </w:pBdr>
      <w:tabs>
        <w:tab w:val="center" w:pos="4153"/>
        <w:tab w:val="right" w:pos="8306"/>
      </w:tabs>
      <w:snapToGrid w:val="0"/>
      <w:jc w:val="center"/>
    </w:pPr>
    <w:rPr>
      <w:kern w:val="0"/>
      <w:sz w:val="18"/>
      <w:szCs w:val="18"/>
    </w:rPr>
  </w:style>
  <w:style w:type="character" w:styleId="7">
    <w:name w:val="page number"/>
    <w:basedOn w:val="6"/>
    <w:uiPriority w:val="0"/>
  </w:style>
  <w:style w:type="character" w:customStyle="1" w:styleId="8">
    <w:name w:val="批注框文本 字符"/>
    <w:link w:val="2"/>
    <w:semiHidden/>
    <w:locked/>
    <w:uiPriority w:val="0"/>
    <w:rPr>
      <w:rFonts w:eastAsia="宋体fal"/>
      <w:sz w:val="18"/>
      <w:szCs w:val="18"/>
      <w:lang w:val="en-US" w:eastAsia="zh-CN" w:bidi="ar-SA"/>
    </w:rPr>
  </w:style>
  <w:style w:type="character" w:customStyle="1" w:styleId="9">
    <w:name w:val="页脚 字符"/>
    <w:link w:val="3"/>
    <w:locked/>
    <w:uiPriority w:val="0"/>
    <w:rPr>
      <w:rFonts w:eastAsia="宋体fal"/>
      <w:sz w:val="18"/>
      <w:szCs w:val="18"/>
      <w:lang w:val="en-US" w:eastAsia="zh-CN" w:bidi="ar-SA"/>
    </w:rPr>
  </w:style>
  <w:style w:type="character" w:customStyle="1" w:styleId="10">
    <w:name w:val="页眉 字符"/>
    <w:link w:val="4"/>
    <w:locked/>
    <w:uiPriority w:val="0"/>
    <w:rPr>
      <w:rFonts w:eastAsia="宋体fal"/>
      <w:sz w:val="18"/>
      <w:szCs w:val="1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22</Pages>
  <Words>1255</Words>
  <Characters>7158</Characters>
  <Lines>59</Lines>
  <Paragraphs>16</Paragraphs>
  <TotalTime>2</TotalTime>
  <ScaleCrop>false</ScaleCrop>
  <LinksUpToDate>false</LinksUpToDate>
  <CharactersWithSpaces>8397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2020-02-03T00:08:00Z</dcterms:created>
  <dc:creator>董婕</dc:creator>
  <cp:lastModifiedBy>李永宁</cp:lastModifiedBy>
  <dcterms:modified xsi:type="dcterms:W3CDTF">2024-03-05T06:05:22Z</dcterms:modified>
  <dc:title>温州职业技术学院文件</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B50C940E49B047B7B122D092B5790C5C_13</vt:lpwstr>
  </property>
</Properties>
</file>