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eastAsia="方正小标宋简体"/>
          <w:sz w:val="36"/>
          <w:szCs w:val="36"/>
        </w:rPr>
      </w:pPr>
      <w:r>
        <w:rPr>
          <w:rFonts w:hint="eastAsia" w:ascii="方正小标宋简体" w:eastAsia="方正小标宋简体"/>
          <w:sz w:val="36"/>
          <w:szCs w:val="36"/>
        </w:rPr>
        <w:t>201</w:t>
      </w:r>
      <w:r>
        <w:rPr>
          <w:rFonts w:hint="eastAsia" w:ascii="方正小标宋简体" w:eastAsia="方正小标宋简体"/>
          <w:sz w:val="36"/>
          <w:szCs w:val="36"/>
          <w:lang w:val="en-US" w:eastAsia="zh-CN"/>
        </w:rPr>
        <w:t>8</w:t>
      </w:r>
      <w:r>
        <w:rPr>
          <w:rFonts w:hint="eastAsia" w:ascii="方正小标宋简体" w:eastAsia="方正小标宋简体"/>
          <w:sz w:val="36"/>
          <w:szCs w:val="36"/>
        </w:rPr>
        <w:t>年浙江省职业院校技能大赛（高职组）</w:t>
      </w:r>
    </w:p>
    <w:p>
      <w:pPr>
        <w:spacing w:line="560" w:lineRule="exact"/>
        <w:jc w:val="center"/>
      </w:pPr>
      <w:r>
        <w:rPr>
          <w:rFonts w:hint="eastAsia" w:ascii="宋体" w:hAnsi="宋体" w:eastAsia="宋体" w:cs="OEEEEV+FZHTJW--GB1-0"/>
          <w:color w:val="000000"/>
          <w:sz w:val="36"/>
          <w:szCs w:val="36"/>
        </w:rPr>
        <w:t>“电子产品芯片级检测维修与数据恢复”赛项规程</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一、赛项名称</w:t>
      </w:r>
    </w:p>
    <w:p>
      <w:pPr>
        <w:widowControl w:val="0"/>
        <w:spacing w:line="360" w:lineRule="auto"/>
        <w:ind w:firstLine="573"/>
        <w:jc w:val="both"/>
        <w:rPr>
          <w:rFonts w:ascii="仿宋" w:hAnsi="仿宋" w:eastAsia="仿宋" w:cs="仿宋"/>
          <w:bCs/>
        </w:rPr>
      </w:pPr>
      <w:r>
        <w:rPr>
          <w:rFonts w:hint="eastAsia" w:ascii="仿宋" w:hAnsi="仿宋" w:eastAsia="仿宋" w:cs="仿宋"/>
          <w:bCs/>
        </w:rPr>
        <w:t xml:space="preserve">赛项名称：电子产品芯片级检测维修与数据恢复  </w:t>
      </w:r>
    </w:p>
    <w:p>
      <w:pPr>
        <w:widowControl w:val="0"/>
        <w:spacing w:line="360" w:lineRule="auto"/>
        <w:ind w:firstLine="573"/>
        <w:jc w:val="both"/>
        <w:rPr>
          <w:rFonts w:ascii="仿宋" w:hAnsi="仿宋" w:eastAsia="仿宋" w:cs="仿宋"/>
          <w:bCs/>
        </w:rPr>
      </w:pPr>
      <w:r>
        <w:rPr>
          <w:rFonts w:hint="eastAsia" w:ascii="仿宋" w:hAnsi="仿宋" w:eastAsia="仿宋" w:cs="仿宋"/>
          <w:bCs/>
        </w:rPr>
        <w:t>赛项组别：高职组</w:t>
      </w:r>
    </w:p>
    <w:p>
      <w:pPr>
        <w:widowControl w:val="0"/>
        <w:spacing w:line="360" w:lineRule="auto"/>
        <w:ind w:firstLine="573"/>
        <w:jc w:val="both"/>
        <w:rPr>
          <w:rFonts w:ascii="仿宋" w:hAnsi="仿宋" w:eastAsia="仿宋" w:cs="仿宋"/>
          <w:bCs/>
        </w:rPr>
      </w:pPr>
      <w:r>
        <w:rPr>
          <w:rFonts w:hint="eastAsia" w:ascii="仿宋" w:hAnsi="仿宋" w:eastAsia="仿宋" w:cs="仿宋"/>
          <w:bCs/>
        </w:rPr>
        <w:t>赛项归属产业：电子信息产业</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二、竞赛目的</w:t>
      </w:r>
    </w:p>
    <w:p>
      <w:pPr>
        <w:widowControl w:val="0"/>
        <w:spacing w:line="360" w:lineRule="auto"/>
        <w:ind w:firstLine="573"/>
        <w:jc w:val="both"/>
        <w:rPr>
          <w:rFonts w:ascii="仿宋" w:hAnsi="仿宋" w:eastAsia="仿宋" w:cs="仿宋"/>
          <w:bCs/>
        </w:rPr>
      </w:pPr>
      <w:r>
        <w:rPr>
          <w:rFonts w:ascii="仿宋" w:hAnsi="仿宋" w:eastAsia="仿宋" w:cs="仿宋"/>
          <w:bCs/>
        </w:rPr>
        <w:t>本赛项以我国电子信息产业发展的人才需求为依托，以电脑主板芯片级维修及硬盘数据恢复技术为载体，将电子产品芯片级检测维修与数据恢复的前沿技术及技能融入比赛内容， 主要检验选手在模拟真实的工作场景下对电子产品芯片级检测维修及数据恢复的技能和综合职业素养，全面展现职业教育改进与改革的最新成果及参赛队伍良好的精神风貌，引导高职教育关注在“电子产品芯片级维修与数据恢复”教育方面的发展趋势，为行业、企业培养紧缺人才，提高电子信息类高素质、高技能应用型人才的培养质量。</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三、竞赛内容与时间</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（一）竞赛内容</w:t>
      </w:r>
    </w:p>
    <w:p>
      <w:pPr>
        <w:widowControl w:val="0"/>
        <w:spacing w:line="360" w:lineRule="auto"/>
        <w:ind w:firstLine="573"/>
        <w:jc w:val="both"/>
        <w:rPr>
          <w:rFonts w:ascii="仿宋" w:hAnsi="仿宋" w:eastAsia="仿宋" w:cs="仿宋"/>
          <w:bCs/>
        </w:rPr>
      </w:pPr>
      <w:r>
        <w:rPr>
          <w:rFonts w:hint="eastAsia" w:ascii="仿宋" w:hAnsi="仿宋" w:eastAsia="仿宋" w:cs="仿宋"/>
          <w:bCs/>
        </w:rPr>
        <w:t>任务一、 电子产品检测维修（赛项比重</w:t>
      </w:r>
      <w:r>
        <w:rPr>
          <w:rFonts w:hint="eastAsia" w:ascii="仿宋" w:hAnsi="仿宋" w:eastAsia="仿宋" w:cs="仿宋"/>
          <w:bCs/>
          <w:lang w:val="en-US" w:eastAsia="zh-CN"/>
        </w:rPr>
        <w:t>30</w:t>
      </w:r>
      <w:r>
        <w:rPr>
          <w:rFonts w:hint="eastAsia" w:ascii="仿宋" w:hAnsi="仿宋" w:eastAsia="仿宋" w:cs="仿宋"/>
          <w:bCs/>
        </w:rPr>
        <w:t>%）。</w:t>
      </w:r>
    </w:p>
    <w:p>
      <w:pPr>
        <w:widowControl w:val="0"/>
        <w:spacing w:line="360" w:lineRule="auto"/>
        <w:ind w:firstLine="573"/>
        <w:jc w:val="both"/>
        <w:rPr>
          <w:rFonts w:ascii="仿宋" w:hAnsi="仿宋" w:eastAsia="仿宋" w:cs="仿宋"/>
          <w:bCs/>
        </w:rPr>
      </w:pPr>
      <w:r>
        <w:rPr>
          <w:rFonts w:hint="eastAsia" w:ascii="仿宋" w:hAnsi="仿宋" w:eastAsia="仿宋" w:cs="仿宋"/>
          <w:bCs/>
        </w:rPr>
        <w:t>芯片级检测维修是以台式机功能板、笔记本功能板、显示器电路功能板、硬盘驱动功能板等作为比赛载体，参赛选手依据大赛组委会提供的技术文件（包括原理图及元器件资料等）对故障电路板进行检测，并对损坏元器件或芯片进行更换，实现对电路板功能的修复，并按规定格式填写竞赛报告单。</w:t>
      </w:r>
    </w:p>
    <w:p>
      <w:pPr>
        <w:widowControl w:val="0"/>
        <w:spacing w:line="360" w:lineRule="auto"/>
        <w:ind w:firstLine="573"/>
        <w:jc w:val="both"/>
        <w:rPr>
          <w:rFonts w:ascii="仿宋" w:hAnsi="仿宋" w:eastAsia="仿宋" w:cs="仿宋"/>
          <w:bCs/>
        </w:rPr>
      </w:pPr>
      <w:r>
        <w:rPr>
          <w:rFonts w:hint="eastAsia" w:ascii="仿宋" w:hAnsi="仿宋" w:eastAsia="仿宋" w:cs="仿宋"/>
          <w:bCs/>
        </w:rPr>
        <w:t>任务二、数据恢复（赛项比重</w:t>
      </w:r>
      <w:r>
        <w:rPr>
          <w:rFonts w:hint="eastAsia" w:ascii="仿宋" w:hAnsi="仿宋" w:eastAsia="仿宋" w:cs="仿宋"/>
          <w:bCs/>
          <w:lang w:val="en-US" w:eastAsia="zh-CN"/>
        </w:rPr>
        <w:t>40</w:t>
      </w:r>
      <w:r>
        <w:rPr>
          <w:rFonts w:hint="eastAsia" w:ascii="仿宋" w:hAnsi="仿宋" w:eastAsia="仿宋" w:cs="仿宋"/>
          <w:bCs/>
        </w:rPr>
        <w:t>%）。</w:t>
      </w:r>
    </w:p>
    <w:p>
      <w:pPr>
        <w:widowControl w:val="0"/>
        <w:spacing w:line="360" w:lineRule="auto"/>
        <w:ind w:firstLine="573"/>
        <w:jc w:val="both"/>
        <w:rPr>
          <w:rFonts w:ascii="仿宋" w:hAnsi="仿宋" w:eastAsia="仿宋" w:cs="仿宋"/>
          <w:bCs/>
        </w:rPr>
      </w:pPr>
      <w:r>
        <w:rPr>
          <w:rFonts w:hint="eastAsia" w:ascii="仿宋" w:hAnsi="仿宋" w:eastAsia="仿宋" w:cs="仿宋"/>
          <w:bCs/>
        </w:rPr>
        <w:t>大赛以机械硬盘驱动器（台式机、笔记本电脑硬盘）、U盘为载体，参赛选手依据大赛组委会提供的技术资料，将组委会提供的硬盘、U盘中指定文件资料恢复出来，并完成竞赛报告单的填写。</w:t>
      </w:r>
    </w:p>
    <w:p>
      <w:pPr>
        <w:widowControl w:val="0"/>
        <w:spacing w:line="360" w:lineRule="auto"/>
        <w:ind w:firstLine="573"/>
        <w:jc w:val="both"/>
        <w:rPr>
          <w:rFonts w:ascii="仿宋" w:hAnsi="仿宋" w:eastAsia="仿宋" w:cs="仿宋"/>
          <w:bCs/>
        </w:rPr>
      </w:pPr>
      <w:r>
        <w:rPr>
          <w:rFonts w:hint="eastAsia" w:ascii="仿宋" w:hAnsi="仿宋" w:eastAsia="仿宋" w:cs="仿宋"/>
          <w:bCs/>
        </w:rPr>
        <w:t>任务三、填写竞赛报告单（赛项比重</w:t>
      </w:r>
      <w:r>
        <w:rPr>
          <w:rFonts w:hint="eastAsia" w:ascii="仿宋" w:hAnsi="仿宋" w:eastAsia="仿宋" w:cs="仿宋"/>
          <w:bCs/>
          <w:lang w:val="en-US" w:eastAsia="zh-CN"/>
        </w:rPr>
        <w:t>2</w:t>
      </w:r>
      <w:r>
        <w:rPr>
          <w:rFonts w:hint="eastAsia" w:ascii="仿宋" w:hAnsi="仿宋" w:eastAsia="仿宋" w:cs="仿宋"/>
          <w:bCs/>
        </w:rPr>
        <w:t>0%）</w:t>
      </w:r>
    </w:p>
    <w:p>
      <w:pPr>
        <w:widowControl w:val="0"/>
        <w:spacing w:line="360" w:lineRule="auto"/>
        <w:ind w:firstLine="573"/>
        <w:jc w:val="both"/>
        <w:rPr>
          <w:rFonts w:hint="eastAsia" w:ascii="仿宋" w:hAnsi="仿宋" w:eastAsia="仿宋" w:cs="仿宋"/>
          <w:bCs/>
        </w:rPr>
      </w:pPr>
      <w:r>
        <w:rPr>
          <w:rFonts w:hint="eastAsia" w:ascii="仿宋" w:hAnsi="仿宋" w:eastAsia="仿宋" w:cs="仿宋"/>
          <w:bCs/>
        </w:rPr>
        <w:t>完成《电子产品芯片级检测维修与数据恢复项目竞赛报告单》（电子版）的填写，并上传到服务器。</w:t>
      </w:r>
    </w:p>
    <w:p>
      <w:pPr>
        <w:widowControl w:val="0"/>
        <w:spacing w:line="360" w:lineRule="auto"/>
        <w:ind w:firstLine="573"/>
        <w:jc w:val="both"/>
        <w:rPr>
          <w:rFonts w:ascii="仿宋" w:hAnsi="仿宋" w:eastAsia="仿宋" w:cs="仿宋"/>
          <w:bCs/>
        </w:rPr>
      </w:pPr>
      <w:r>
        <w:rPr>
          <w:rFonts w:hint="eastAsia" w:ascii="仿宋" w:hAnsi="仿宋" w:eastAsia="仿宋" w:cs="仿宋"/>
          <w:bCs/>
        </w:rPr>
        <w:t>任务四、检测维修竞速（赛项比重10%）</w:t>
      </w:r>
    </w:p>
    <w:p>
      <w:pPr>
        <w:widowControl w:val="0"/>
        <w:spacing w:line="360" w:lineRule="auto"/>
        <w:ind w:firstLine="573"/>
        <w:jc w:val="both"/>
        <w:rPr>
          <w:rFonts w:ascii="仿宋" w:hAnsi="仿宋" w:eastAsia="仿宋" w:cs="仿宋"/>
          <w:bCs/>
        </w:rPr>
      </w:pPr>
      <w:r>
        <w:rPr>
          <w:rFonts w:hint="eastAsia" w:ascii="仿宋" w:hAnsi="仿宋" w:eastAsia="仿宋" w:cs="仿宋"/>
          <w:bCs/>
        </w:rPr>
        <w:t>综合考虑参赛选手完成任务的质量与用时。</w:t>
      </w:r>
    </w:p>
    <w:p>
      <w:pPr>
        <w:pStyle w:val="5"/>
        <w:numPr>
          <w:ilvl w:val="0"/>
          <w:numId w:val="1"/>
        </w:numPr>
        <w:ind w:firstLine="484"/>
        <w:jc w:val="both"/>
        <w:rPr>
          <w:rFonts w:hint="eastAsia" w:ascii="仿宋" w:hAnsi="仿宋" w:eastAsia="仿宋" w:cs="仿宋"/>
          <w:b/>
          <w:sz w:val="24"/>
          <w:szCs w:val="24"/>
        </w:rPr>
      </w:pPr>
      <w:r>
        <w:rPr>
          <w:rFonts w:hint="eastAsia" w:ascii="仿宋" w:hAnsi="仿宋" w:eastAsia="仿宋" w:cs="仿宋"/>
          <w:b/>
          <w:sz w:val="24"/>
          <w:szCs w:val="24"/>
        </w:rPr>
        <w:t>竞赛时间</w:t>
      </w:r>
    </w:p>
    <w:p>
      <w:pPr>
        <w:pStyle w:val="5"/>
        <w:numPr>
          <w:ilvl w:val="0"/>
          <w:numId w:val="0"/>
        </w:numPr>
        <w:jc w:val="both"/>
        <w:rPr>
          <w:rFonts w:ascii="仿宋" w:hAnsi="仿宋" w:eastAsia="仿宋" w:cs="仿宋"/>
          <w:b/>
          <w:sz w:val="24"/>
          <w:szCs w:val="24"/>
        </w:rPr>
      </w:pP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ab/>
      </w:r>
    </w:p>
    <w:tbl>
      <w:tblPr>
        <w:tblStyle w:val="24"/>
        <w:tblW w:w="794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7"/>
        <w:gridCol w:w="4916"/>
        <w:gridCol w:w="1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cs="仿宋"/>
                <w:b/>
                <w:bCs/>
                <w:color w:val="000000"/>
              </w:rPr>
            </w:pPr>
            <w:r>
              <w:rPr>
                <w:rFonts w:hint="eastAsia" w:ascii="仿宋" w:hAnsi="仿宋" w:eastAsia="仿宋" w:cs="仿宋"/>
                <w:b/>
                <w:bCs/>
                <w:color w:val="000000"/>
              </w:rPr>
              <w:t>日期</w:t>
            </w:r>
          </w:p>
        </w:tc>
        <w:tc>
          <w:tcPr>
            <w:tcW w:w="4916"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cs="仿宋"/>
                <w:b/>
                <w:bCs/>
                <w:color w:val="000000"/>
              </w:rPr>
            </w:pPr>
            <w:r>
              <w:rPr>
                <w:rFonts w:hint="eastAsia" w:ascii="仿宋" w:hAnsi="仿宋" w:eastAsia="仿宋" w:cs="仿宋"/>
                <w:b/>
                <w:bCs/>
                <w:color w:val="000000"/>
              </w:rPr>
              <w:t>事项安排</w:t>
            </w:r>
          </w:p>
        </w:tc>
        <w:tc>
          <w:tcPr>
            <w:tcW w:w="1756" w:type="dxa"/>
            <w:tcBorders>
              <w:top w:val="single" w:color="auto" w:sz="4" w:space="0"/>
              <w:left w:val="nil"/>
              <w:bottom w:val="single" w:color="auto" w:sz="4" w:space="0"/>
              <w:right w:val="single" w:color="auto" w:sz="4" w:space="0"/>
            </w:tcBorders>
            <w:vAlign w:val="top"/>
          </w:tcPr>
          <w:p>
            <w:pPr>
              <w:spacing w:line="240" w:lineRule="auto"/>
              <w:jc w:val="center"/>
              <w:rPr>
                <w:rFonts w:ascii="仿宋" w:hAnsi="仿宋" w:eastAsia="仿宋" w:cs="仿宋"/>
                <w:b/>
                <w:bCs/>
                <w:color w:val="000000"/>
              </w:rPr>
            </w:pPr>
            <w:r>
              <w:rPr>
                <w:rFonts w:hint="eastAsia" w:ascii="仿宋" w:hAnsi="仿宋" w:eastAsia="仿宋" w:cs="仿宋"/>
                <w:b/>
                <w:bCs/>
                <w:color w:val="000000"/>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3" w:hRule="atLeast"/>
          <w:jc w:val="center"/>
        </w:trPr>
        <w:tc>
          <w:tcPr>
            <w:tcW w:w="1277" w:type="dxa"/>
            <w:vMerge w:val="restart"/>
            <w:tcBorders>
              <w:top w:val="single" w:color="auto" w:sz="4" w:space="0"/>
              <w:left w:val="single" w:color="auto" w:sz="4" w:space="0"/>
              <w:right w:val="single" w:color="auto" w:sz="4" w:space="0"/>
            </w:tcBorders>
            <w:vAlign w:val="center"/>
          </w:tcPr>
          <w:p>
            <w:pPr>
              <w:spacing w:line="240" w:lineRule="auto"/>
              <w:jc w:val="center"/>
              <w:rPr>
                <w:rFonts w:ascii="仿宋" w:hAnsi="仿宋" w:eastAsia="仿宋" w:cs="仿宋"/>
                <w:b/>
                <w:bCs/>
                <w:color w:val="000000"/>
              </w:rPr>
            </w:pPr>
            <w:r>
              <w:rPr>
                <w:rFonts w:hint="eastAsia" w:ascii="仿宋" w:hAnsi="仿宋" w:eastAsia="仿宋" w:cs="仿宋"/>
                <w:b/>
                <w:bCs/>
                <w:color w:val="000000"/>
              </w:rPr>
              <w:t>第一天</w:t>
            </w:r>
          </w:p>
        </w:tc>
        <w:tc>
          <w:tcPr>
            <w:tcW w:w="4916"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cs="仿宋"/>
                <w:bCs/>
                <w:color w:val="000000"/>
              </w:rPr>
            </w:pPr>
            <w:r>
              <w:rPr>
                <w:rFonts w:hint="eastAsia" w:ascii="仿宋" w:hAnsi="仿宋" w:eastAsia="仿宋" w:cs="仿宋"/>
                <w:bCs/>
                <w:color w:val="000000"/>
              </w:rPr>
              <w:t>参赛队报到注册</w:t>
            </w:r>
          </w:p>
        </w:tc>
        <w:tc>
          <w:tcPr>
            <w:tcW w:w="1756" w:type="dxa"/>
            <w:tcBorders>
              <w:top w:val="single" w:color="auto" w:sz="4" w:space="0"/>
              <w:left w:val="nil"/>
              <w:bottom w:val="single" w:color="auto" w:sz="4" w:space="0"/>
              <w:right w:val="single" w:color="auto" w:sz="4" w:space="0"/>
            </w:tcBorders>
            <w:vAlign w:val="top"/>
          </w:tcPr>
          <w:p>
            <w:pPr>
              <w:spacing w:line="240" w:lineRule="auto"/>
              <w:rPr>
                <w:rFonts w:ascii="仿宋" w:hAnsi="仿宋" w:eastAsia="仿宋" w:cs="仿宋"/>
                <w:bCs/>
                <w:color w:val="000000"/>
              </w:rPr>
            </w:pPr>
            <w:r>
              <w:rPr>
                <w:rFonts w:hint="eastAsia" w:ascii="仿宋" w:hAnsi="仿宋" w:eastAsia="仿宋" w:cs="仿宋"/>
                <w:bCs/>
                <w:color w:val="00000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b/>
                <w:bCs/>
                <w:color w:val="000000"/>
              </w:rPr>
            </w:pPr>
          </w:p>
        </w:tc>
        <w:tc>
          <w:tcPr>
            <w:tcW w:w="4916"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cs="仿宋"/>
                <w:bCs/>
                <w:color w:val="000000"/>
              </w:rPr>
            </w:pPr>
            <w:r>
              <w:rPr>
                <w:rFonts w:hint="eastAsia" w:ascii="仿宋" w:hAnsi="仿宋" w:eastAsia="仿宋" w:cs="仿宋"/>
                <w:bCs/>
                <w:color w:val="000000"/>
              </w:rPr>
              <w:t>选手说明会</w:t>
            </w:r>
          </w:p>
        </w:tc>
        <w:tc>
          <w:tcPr>
            <w:tcW w:w="1756" w:type="dxa"/>
            <w:tcBorders>
              <w:top w:val="single" w:color="auto" w:sz="4" w:space="0"/>
              <w:left w:val="nil"/>
              <w:bottom w:val="single" w:color="auto" w:sz="4" w:space="0"/>
              <w:right w:val="single" w:color="auto" w:sz="4" w:space="0"/>
            </w:tcBorders>
            <w:vAlign w:val="top"/>
          </w:tcPr>
          <w:p>
            <w:pPr>
              <w:spacing w:line="240" w:lineRule="auto"/>
              <w:rPr>
                <w:rFonts w:ascii="仿宋" w:hAnsi="仿宋" w:eastAsia="仿宋" w:cs="仿宋"/>
                <w:bCs/>
                <w:color w:val="000000"/>
              </w:rPr>
            </w:pPr>
            <w:r>
              <w:rPr>
                <w:rFonts w:hint="eastAsia" w:ascii="仿宋" w:hAnsi="仿宋" w:eastAsia="仿宋" w:cs="仿宋"/>
                <w:bCs/>
                <w:color w:val="000000"/>
              </w:rPr>
              <w:t>15:00-15:30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continue"/>
            <w:tcBorders>
              <w:left w:val="single" w:color="auto" w:sz="4" w:space="0"/>
              <w:bottom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熟悉赛场</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15:30-16:30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restart"/>
            <w:tcBorders>
              <w:top w:val="nil"/>
              <w:left w:val="single" w:color="auto" w:sz="4" w:space="0"/>
              <w:right w:val="single" w:color="auto" w:sz="4" w:space="0"/>
            </w:tcBorders>
            <w:vAlign w:val="center"/>
          </w:tcPr>
          <w:p>
            <w:pPr>
              <w:spacing w:line="240" w:lineRule="auto"/>
              <w:jc w:val="center"/>
              <w:rPr>
                <w:rFonts w:ascii="仿宋" w:hAnsi="仿宋" w:eastAsia="仿宋" w:cs="仿宋"/>
                <w:b/>
                <w:color w:val="000000"/>
              </w:rPr>
            </w:pPr>
            <w:r>
              <w:rPr>
                <w:rFonts w:hint="eastAsia" w:ascii="仿宋" w:hAnsi="仿宋" w:eastAsia="仿宋" w:cs="仿宋"/>
                <w:b/>
                <w:color w:val="000000"/>
              </w:rPr>
              <w:t>第二天</w:t>
            </w: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选手到场</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 xml:space="preserve">检录及入场  </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7:30-8:30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3"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赛前30分钟准备</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8:30-9:00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比赛时间</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9:00-11:00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nil"/>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参赛代表队离场</w:t>
            </w:r>
          </w:p>
        </w:tc>
        <w:tc>
          <w:tcPr>
            <w:tcW w:w="1756" w:type="dxa"/>
            <w:tcBorders>
              <w:top w:val="nil"/>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 xml:space="preserve">11:30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vMerge w:val="continue"/>
            <w:tcBorders>
              <w:left w:val="single" w:color="auto" w:sz="4" w:space="0"/>
              <w:right w:val="single" w:color="auto" w:sz="4" w:space="0"/>
            </w:tcBorders>
            <w:vAlign w:val="center"/>
          </w:tcPr>
          <w:p>
            <w:pPr>
              <w:spacing w:line="240" w:lineRule="auto"/>
              <w:jc w:val="center"/>
              <w:rPr>
                <w:rFonts w:ascii="仿宋" w:hAnsi="仿宋" w:eastAsia="仿宋" w:cs="仿宋"/>
                <w:color w:val="000000"/>
              </w:rPr>
            </w:pPr>
          </w:p>
        </w:tc>
        <w:tc>
          <w:tcPr>
            <w:tcW w:w="4916"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cs="仿宋"/>
                <w:color w:val="000000"/>
              </w:rPr>
            </w:pPr>
            <w:r>
              <w:rPr>
                <w:rFonts w:hint="eastAsia" w:ascii="仿宋" w:hAnsi="仿宋" w:eastAsia="仿宋" w:cs="仿宋"/>
                <w:color w:val="000000"/>
              </w:rPr>
              <w:t>裁判评分  成绩复核确认  录入上报</w:t>
            </w:r>
          </w:p>
        </w:tc>
        <w:tc>
          <w:tcPr>
            <w:tcW w:w="1756" w:type="dxa"/>
            <w:tcBorders>
              <w:top w:val="single" w:color="auto" w:sz="4" w:space="0"/>
              <w:left w:val="nil"/>
              <w:bottom w:val="single" w:color="auto" w:sz="4" w:space="0"/>
              <w:right w:val="single" w:color="auto" w:sz="4" w:space="0"/>
            </w:tcBorders>
            <w:vAlign w:val="top"/>
          </w:tcPr>
          <w:p>
            <w:pPr>
              <w:spacing w:line="240" w:lineRule="auto"/>
              <w:rPr>
                <w:rFonts w:ascii="仿宋" w:hAnsi="仿宋" w:eastAsia="仿宋" w:cs="仿宋"/>
                <w:color w:val="000000"/>
              </w:rPr>
            </w:pPr>
            <w:r>
              <w:rPr>
                <w:rFonts w:hint="eastAsia" w:ascii="仿宋" w:hAnsi="仿宋" w:eastAsia="仿宋" w:cs="仿宋"/>
                <w:color w:val="000000"/>
              </w:rPr>
              <w:t>11:30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cs="仿宋"/>
                <w:b/>
                <w:color w:val="000000"/>
              </w:rPr>
            </w:pPr>
          </w:p>
        </w:tc>
        <w:tc>
          <w:tcPr>
            <w:tcW w:w="4916" w:type="dxa"/>
            <w:tcBorders>
              <w:top w:val="single" w:color="auto" w:sz="4" w:space="0"/>
              <w:left w:val="nil"/>
              <w:bottom w:val="single" w:color="auto" w:sz="4" w:space="0"/>
              <w:right w:val="single" w:color="auto" w:sz="4" w:space="0"/>
            </w:tcBorders>
            <w:vAlign w:val="center"/>
          </w:tcPr>
          <w:p>
            <w:pPr>
              <w:spacing w:line="240" w:lineRule="auto"/>
              <w:rPr>
                <w:rFonts w:hint="eastAsia" w:ascii="仿宋" w:hAnsi="仿宋" w:eastAsia="仿宋" w:cs="仿宋"/>
                <w:color w:val="000000"/>
                <w:lang w:eastAsia="zh-CN"/>
              </w:rPr>
            </w:pPr>
            <w:r>
              <w:rPr>
                <w:rFonts w:hint="eastAsia" w:ascii="仿宋" w:hAnsi="仿宋" w:eastAsia="仿宋" w:cs="仿宋"/>
                <w:b/>
                <w:bCs/>
                <w:color w:val="000000"/>
                <w:lang w:eastAsia="zh-CN"/>
              </w:rPr>
              <w:t>参加队数若多于一个</w:t>
            </w:r>
            <w:r>
              <w:rPr>
                <w:rFonts w:hint="eastAsia" w:ascii="仿宋" w:hAnsi="仿宋" w:eastAsia="仿宋" w:cs="仿宋"/>
                <w:b/>
                <w:bCs/>
                <w:color w:val="000000"/>
                <w:lang w:val="en-US" w:eastAsia="zh-CN"/>
              </w:rPr>
              <w:t>场次，具体竞赛时间参考第一天报道时发的竞赛规程</w:t>
            </w:r>
          </w:p>
        </w:tc>
        <w:tc>
          <w:tcPr>
            <w:tcW w:w="1756" w:type="dxa"/>
            <w:tcBorders>
              <w:top w:val="single" w:color="auto" w:sz="4" w:space="0"/>
              <w:left w:val="nil"/>
              <w:bottom w:val="single" w:color="auto" w:sz="4" w:space="0"/>
              <w:right w:val="single" w:color="auto" w:sz="4" w:space="0"/>
            </w:tcBorders>
            <w:vAlign w:val="top"/>
          </w:tcPr>
          <w:p>
            <w:pPr>
              <w:spacing w:line="240" w:lineRule="auto"/>
              <w:rPr>
                <w:rFonts w:ascii="仿宋" w:hAnsi="仿宋" w:eastAsia="仿宋" w:cs="仿宋"/>
                <w:color w:val="000000"/>
              </w:rPr>
            </w:pPr>
          </w:p>
        </w:tc>
      </w:tr>
    </w:tbl>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四、竞赛方式</w:t>
      </w:r>
    </w:p>
    <w:p>
      <w:pPr>
        <w:widowControl w:val="0"/>
        <w:spacing w:line="360" w:lineRule="auto"/>
        <w:ind w:firstLine="573"/>
        <w:jc w:val="both"/>
        <w:rPr>
          <w:rFonts w:ascii="仿宋" w:hAnsi="仿宋" w:eastAsia="仿宋" w:cs="仿宋"/>
          <w:bCs/>
        </w:rPr>
      </w:pPr>
      <w:r>
        <w:rPr>
          <w:rFonts w:hint="eastAsia" w:ascii="仿宋" w:hAnsi="仿宋" w:eastAsia="仿宋" w:cs="仿宋"/>
          <w:bCs/>
        </w:rPr>
        <w:t>1.比赛在120分钟内进行。选手休息、饮水、上洗手间等，不安排专门用时，统一计在竞赛时间内，竞赛计时工具，以赛场设置的时钟为准。</w:t>
      </w:r>
    </w:p>
    <w:p>
      <w:pPr>
        <w:widowControl w:val="0"/>
        <w:spacing w:line="360" w:lineRule="auto"/>
        <w:ind w:firstLine="573"/>
        <w:jc w:val="both"/>
        <w:rPr>
          <w:rFonts w:ascii="仿宋" w:hAnsi="仿宋" w:eastAsia="仿宋" w:cs="仿宋"/>
          <w:bCs/>
        </w:rPr>
      </w:pPr>
      <w:r>
        <w:rPr>
          <w:rFonts w:hint="eastAsia" w:ascii="仿宋" w:hAnsi="仿宋" w:eastAsia="仿宋" w:cs="仿宋"/>
          <w:bCs/>
        </w:rPr>
        <w:t>2.参赛选手需按照参赛时段进入比赛场地，比赛工位通过抽签决定。在比赛前30分钟领取比赛题目并进入比赛工位，选手自行决定分工、工作程序和时间安排。比赛期间组委会适时提供饮水和食品，参赛选手不得离开赛会指定的场地。</w:t>
      </w:r>
    </w:p>
    <w:p>
      <w:pPr>
        <w:widowControl w:val="0"/>
        <w:spacing w:line="360" w:lineRule="auto"/>
        <w:ind w:firstLine="573"/>
        <w:jc w:val="both"/>
        <w:rPr>
          <w:rFonts w:ascii="仿宋" w:hAnsi="仿宋" w:eastAsia="仿宋" w:cs="仿宋"/>
          <w:bCs/>
        </w:rPr>
      </w:pPr>
      <w:r>
        <w:rPr>
          <w:rFonts w:hint="eastAsia" w:ascii="仿宋" w:hAnsi="仿宋" w:eastAsia="仿宋" w:cs="仿宋"/>
          <w:bCs/>
        </w:rPr>
        <w:t>3.为保障公平、公正，竞赛现场实施网络安全管制，防止场内外信息交互。参赛选手电脑的无线通讯必须处于关闭状态，不得将手机等通信工具带入竞赛场地，否则按作弊处理。</w:t>
      </w:r>
    </w:p>
    <w:p>
      <w:pPr>
        <w:widowControl w:val="0"/>
        <w:spacing w:line="360" w:lineRule="auto"/>
        <w:ind w:firstLine="573"/>
        <w:jc w:val="both"/>
        <w:rPr>
          <w:rFonts w:ascii="仿宋" w:hAnsi="仿宋" w:eastAsia="仿宋" w:cs="仿宋"/>
          <w:bCs/>
        </w:rPr>
      </w:pPr>
      <w:r>
        <w:rPr>
          <w:rFonts w:hint="eastAsia" w:ascii="仿宋" w:hAnsi="仿宋" w:eastAsia="仿宋" w:cs="仿宋"/>
          <w:bCs/>
        </w:rPr>
        <w:t>4.比赛过程中，选手须严格遵守安全操作规程，并接受裁判员的监督和警示，以确保人身及设备安全。选手因个人误操作造成人身安全事故和设备故障时，裁判长有权中止该队比赛；如非选手个人原因出现设备故障而无法比赛，由裁判长视具体情况做出裁决。</w:t>
      </w:r>
    </w:p>
    <w:p>
      <w:pPr>
        <w:widowControl w:val="0"/>
        <w:spacing w:line="360" w:lineRule="auto"/>
        <w:ind w:firstLine="573"/>
        <w:jc w:val="both"/>
        <w:rPr>
          <w:rFonts w:ascii="仿宋" w:hAnsi="仿宋" w:eastAsia="仿宋" w:cs="仿宋"/>
          <w:bCs/>
        </w:rPr>
      </w:pPr>
      <w:r>
        <w:rPr>
          <w:rFonts w:hint="eastAsia" w:ascii="仿宋" w:hAnsi="仿宋" w:eastAsia="仿宋" w:cs="仿宋"/>
          <w:bCs/>
        </w:rPr>
        <w:t>5.参赛选手若要提前结束竞赛，应举手向裁判员示意，比赛结束时间由裁判员记录，参赛选手结束比赛后不得再进行任何操作。</w:t>
      </w:r>
    </w:p>
    <w:p>
      <w:pPr>
        <w:widowControl w:val="0"/>
        <w:spacing w:line="360" w:lineRule="auto"/>
        <w:ind w:firstLine="573"/>
        <w:jc w:val="both"/>
        <w:rPr>
          <w:rFonts w:ascii="仿宋" w:hAnsi="仿宋" w:eastAsia="仿宋" w:cs="仿宋"/>
          <w:bCs/>
        </w:rPr>
      </w:pPr>
      <w:r>
        <w:rPr>
          <w:rFonts w:hint="eastAsia" w:ascii="仿宋" w:hAnsi="仿宋" w:eastAsia="仿宋" w:cs="仿宋"/>
          <w:bCs/>
        </w:rPr>
        <w:t>6.选手须按照程序提交比赛结果（文件），配合裁判做好赛场情况记录，与裁判一起签字确认，裁判要求签名时不得拒绝。</w:t>
      </w:r>
    </w:p>
    <w:p>
      <w:pPr>
        <w:widowControl w:val="0"/>
        <w:spacing w:line="360" w:lineRule="auto"/>
        <w:ind w:firstLine="573"/>
        <w:jc w:val="both"/>
        <w:rPr>
          <w:rFonts w:ascii="仿宋" w:hAnsi="仿宋" w:eastAsia="仿宋" w:cs="仿宋"/>
          <w:bCs/>
        </w:rPr>
      </w:pPr>
      <w:r>
        <w:rPr>
          <w:rFonts w:hint="eastAsia" w:ascii="仿宋" w:hAnsi="仿宋" w:eastAsia="仿宋" w:cs="仿宋"/>
          <w:bCs/>
        </w:rPr>
        <w:t>7.完成工作任务及交接事宜或竞赛时间结束，应到指定地点，待工作人员宣布竞赛结束，方可离开。</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五、竞赛命题</w:t>
      </w:r>
    </w:p>
    <w:p>
      <w:pPr>
        <w:spacing w:line="360" w:lineRule="auto"/>
        <w:ind w:firstLine="480" w:firstLineChars="200"/>
        <w:rPr>
          <w:rFonts w:hint="eastAsia" w:ascii="仿宋_GB2312" w:eastAsia="仿宋_GB2312"/>
          <w:sz w:val="24"/>
        </w:rPr>
      </w:pPr>
      <w:r>
        <w:rPr>
          <w:rFonts w:hint="eastAsia" w:ascii="仿宋_GB2312" w:eastAsia="仿宋_GB2312"/>
          <w:sz w:val="24"/>
        </w:rPr>
        <w:t>本赛项的命题工作由赛项执委会指定的命题专家组负责，按照竞赛规程的内容要求，在方向和难度上依据教育部颁发的职业院校相关专业人才培养标准和国家职业标准，结合</w:t>
      </w:r>
      <w:r>
        <w:rPr>
          <w:rFonts w:hint="eastAsia" w:ascii="仿宋_GB2312" w:eastAsia="仿宋_GB2312"/>
          <w:sz w:val="24"/>
          <w:lang w:eastAsia="zh-CN"/>
        </w:rPr>
        <w:t>芯片维护和数据恢复人才培养</w:t>
      </w:r>
      <w:r>
        <w:rPr>
          <w:rFonts w:hint="eastAsia" w:ascii="仿宋_GB2312" w:eastAsia="仿宋_GB2312"/>
          <w:sz w:val="24"/>
        </w:rPr>
        <w:t>需</w:t>
      </w:r>
      <w:r>
        <w:rPr>
          <w:rFonts w:hint="eastAsia" w:ascii="仿宋_GB2312" w:eastAsia="仿宋_GB2312"/>
          <w:sz w:val="24"/>
          <w:lang w:eastAsia="zh-CN"/>
        </w:rPr>
        <w:t>求</w:t>
      </w:r>
      <w:r>
        <w:rPr>
          <w:rFonts w:hint="eastAsia" w:ascii="仿宋_GB2312" w:eastAsia="仿宋_GB2312"/>
          <w:sz w:val="24"/>
        </w:rPr>
        <w:t>进行设计，命题专家在完成命题后，交由赛项执委会指定的专家进行审核。</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六、竞赛规则</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（一）报名资格及参赛队伍要求</w:t>
      </w:r>
    </w:p>
    <w:p>
      <w:pPr>
        <w:widowControl w:val="0"/>
        <w:spacing w:line="360" w:lineRule="auto"/>
        <w:ind w:firstLine="573"/>
        <w:jc w:val="both"/>
        <w:rPr>
          <w:rFonts w:ascii="仿宋" w:hAnsi="仿宋" w:eastAsia="仿宋" w:cs="仿宋"/>
          <w:bCs/>
        </w:rPr>
      </w:pPr>
      <w:r>
        <w:rPr>
          <w:rFonts w:hint="eastAsia" w:ascii="仿宋" w:hAnsi="仿宋" w:eastAsia="仿宋" w:cs="仿宋"/>
          <w:bCs/>
        </w:rPr>
        <w:t>1.参赛选手资格：每支参赛队由2名参赛选手组成，2名选手须为同校在籍学生，其中队长</w:t>
      </w:r>
      <w:r>
        <w:rPr>
          <w:rFonts w:ascii="仿宋" w:hAnsi="仿宋" w:eastAsia="仿宋" w:cs="仿宋"/>
          <w:bCs/>
        </w:rPr>
        <w:t>1</w:t>
      </w:r>
      <w:r>
        <w:rPr>
          <w:rFonts w:hint="eastAsia" w:ascii="仿宋" w:hAnsi="仿宋" w:eastAsia="仿宋" w:cs="仿宋"/>
          <w:bCs/>
        </w:rPr>
        <w:t>名，性别和年级不限，并且每支参赛队可配指导教师</w:t>
      </w:r>
      <w:r>
        <w:rPr>
          <w:rFonts w:ascii="仿宋" w:hAnsi="仿宋" w:eastAsia="仿宋" w:cs="仿宋"/>
          <w:bCs/>
        </w:rPr>
        <w:t>2</w:t>
      </w:r>
      <w:r>
        <w:rPr>
          <w:rFonts w:hint="eastAsia" w:ascii="仿宋" w:hAnsi="仿宋" w:eastAsia="仿宋" w:cs="仿宋"/>
          <w:bCs/>
        </w:rPr>
        <w:t>名，指导教师须为本校专兼职教师。</w:t>
      </w:r>
    </w:p>
    <w:p>
      <w:pPr>
        <w:widowControl w:val="0"/>
        <w:spacing w:line="360" w:lineRule="auto"/>
        <w:ind w:firstLine="573"/>
        <w:jc w:val="both"/>
        <w:rPr>
          <w:rFonts w:ascii="仿宋" w:hAnsi="仿宋" w:eastAsia="仿宋" w:cs="仿宋"/>
          <w:bCs/>
        </w:rPr>
      </w:pPr>
      <w:r>
        <w:rPr>
          <w:rFonts w:hint="eastAsia" w:ascii="仿宋" w:hAnsi="仿宋" w:eastAsia="仿宋" w:cs="仿宋"/>
          <w:bCs/>
        </w:rPr>
        <w:t>2.组队要求：同一学校报名参赛队不超过2支。</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（二）熟悉场地</w:t>
      </w:r>
    </w:p>
    <w:p>
      <w:pPr>
        <w:widowControl w:val="0"/>
        <w:spacing w:line="360" w:lineRule="auto"/>
        <w:ind w:firstLine="573"/>
        <w:jc w:val="both"/>
        <w:rPr>
          <w:rFonts w:ascii="仿宋" w:hAnsi="仿宋" w:eastAsia="仿宋" w:cs="仿宋"/>
          <w:bCs/>
        </w:rPr>
      </w:pPr>
      <w:r>
        <w:rPr>
          <w:rFonts w:hint="eastAsia" w:ascii="仿宋" w:hAnsi="仿宋" w:eastAsia="仿宋" w:cs="仿宋"/>
          <w:bCs/>
        </w:rPr>
        <w:t>1.正式比赛前1天，统一安排各参赛队有序地熟悉场地，熟悉场地限定在观摩区活动，不允许进入比赛区。</w:t>
      </w:r>
    </w:p>
    <w:p>
      <w:pPr>
        <w:widowControl w:val="0"/>
        <w:spacing w:line="360" w:lineRule="auto"/>
        <w:ind w:firstLine="573"/>
        <w:jc w:val="both"/>
        <w:rPr>
          <w:rFonts w:ascii="仿宋" w:hAnsi="仿宋" w:eastAsia="仿宋" w:cs="仿宋"/>
          <w:bCs/>
        </w:rPr>
      </w:pPr>
      <w:r>
        <w:rPr>
          <w:rFonts w:hint="eastAsia" w:ascii="仿宋" w:hAnsi="仿宋" w:eastAsia="仿宋" w:cs="仿宋"/>
          <w:bCs/>
        </w:rPr>
        <w:t>2.熟悉场地时严禁与现场工作人员进行交流，不发表没有根据以及有损大赛整体形象的言论。</w:t>
      </w:r>
    </w:p>
    <w:p>
      <w:pPr>
        <w:widowControl w:val="0"/>
        <w:spacing w:line="360" w:lineRule="auto"/>
        <w:ind w:firstLine="573"/>
        <w:jc w:val="both"/>
        <w:rPr>
          <w:rFonts w:ascii="仿宋" w:hAnsi="仿宋" w:eastAsia="仿宋" w:cs="仿宋"/>
          <w:bCs/>
        </w:rPr>
      </w:pPr>
      <w:r>
        <w:rPr>
          <w:rFonts w:hint="eastAsia" w:ascii="仿宋" w:hAnsi="仿宋" w:eastAsia="仿宋" w:cs="仿宋"/>
          <w:bCs/>
        </w:rPr>
        <w:t>3.熟悉场地期间严禁拥挤，喧哗，以免发生意外事故。</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（三）赛场要求</w:t>
      </w:r>
    </w:p>
    <w:p>
      <w:pPr>
        <w:widowControl w:val="0"/>
        <w:spacing w:line="360" w:lineRule="auto"/>
        <w:ind w:firstLine="573"/>
        <w:jc w:val="both"/>
        <w:rPr>
          <w:rFonts w:ascii="仿宋" w:hAnsi="仿宋" w:eastAsia="仿宋" w:cs="仿宋"/>
          <w:bCs/>
        </w:rPr>
      </w:pPr>
      <w:r>
        <w:rPr>
          <w:rFonts w:hint="eastAsia" w:ascii="仿宋" w:hAnsi="仿宋" w:eastAsia="仿宋" w:cs="仿宋"/>
          <w:bCs/>
        </w:rPr>
        <w:t>1.参赛选手在比赛开始前90分钟到赛场指定地点报到，接受工作人员对选手身份、资格和有关证件的检查。</w:t>
      </w:r>
    </w:p>
    <w:p>
      <w:pPr>
        <w:widowControl w:val="0"/>
        <w:spacing w:line="360" w:lineRule="auto"/>
        <w:ind w:firstLine="573"/>
        <w:jc w:val="both"/>
        <w:rPr>
          <w:rFonts w:ascii="仿宋" w:hAnsi="仿宋" w:eastAsia="仿宋" w:cs="仿宋"/>
          <w:bCs/>
        </w:rPr>
      </w:pPr>
      <w:r>
        <w:rPr>
          <w:rFonts w:hint="eastAsia" w:ascii="仿宋" w:hAnsi="仿宋" w:eastAsia="仿宋" w:cs="仿宋"/>
          <w:bCs/>
        </w:rPr>
        <w:t>2.选手赛位抽签决定，确定的赛位不得擅自变更、调整。</w:t>
      </w:r>
    </w:p>
    <w:p>
      <w:pPr>
        <w:widowControl w:val="0"/>
        <w:spacing w:line="360" w:lineRule="auto"/>
        <w:ind w:firstLine="573"/>
        <w:jc w:val="both"/>
        <w:rPr>
          <w:rFonts w:ascii="仿宋" w:hAnsi="仿宋" w:eastAsia="仿宋" w:cs="仿宋"/>
          <w:bCs/>
        </w:rPr>
      </w:pPr>
      <w:r>
        <w:rPr>
          <w:rFonts w:hint="eastAsia" w:ascii="仿宋" w:hAnsi="仿宋" w:eastAsia="仿宋" w:cs="仿宋"/>
          <w:bCs/>
        </w:rPr>
        <w:t>3.选手进入指定赛位后，在裁判长发布“赛前30分钟准备”指令之前，选手不得进行包括设备检查和调试在内的任何操作。竞赛计时开始后，选手未到的，视为自动放弃。</w:t>
      </w:r>
    </w:p>
    <w:p>
      <w:pPr>
        <w:widowControl w:val="0"/>
        <w:spacing w:line="360" w:lineRule="auto"/>
        <w:ind w:firstLine="573"/>
        <w:jc w:val="both"/>
        <w:rPr>
          <w:rFonts w:ascii="仿宋" w:hAnsi="仿宋" w:eastAsia="仿宋" w:cs="仿宋"/>
          <w:bCs/>
        </w:rPr>
      </w:pPr>
      <w:r>
        <w:rPr>
          <w:rFonts w:hint="eastAsia" w:ascii="仿宋" w:hAnsi="仿宋" w:eastAsia="仿宋" w:cs="仿宋"/>
          <w:bCs/>
        </w:rPr>
        <w:t>4.比赛期间组委会适时提供饮水，参赛选手不得离开赛会指定的场地。选手休息、饮水、上洗手间等，不安排专门用时，统一计在竞赛时间内。</w:t>
      </w:r>
    </w:p>
    <w:p>
      <w:pPr>
        <w:widowControl w:val="0"/>
        <w:spacing w:line="360" w:lineRule="auto"/>
        <w:ind w:firstLine="573"/>
        <w:jc w:val="both"/>
        <w:rPr>
          <w:rFonts w:ascii="仿宋" w:hAnsi="仿宋" w:eastAsia="仿宋" w:cs="仿宋"/>
          <w:bCs/>
        </w:rPr>
      </w:pPr>
      <w:r>
        <w:rPr>
          <w:rFonts w:hint="eastAsia" w:ascii="仿宋" w:hAnsi="仿宋" w:eastAsia="仿宋" w:cs="仿宋"/>
          <w:bCs/>
        </w:rPr>
        <w:t>5.竞赛所需的电脑、配套硬件、软件、检测维修所用的工具仪器由组委会统一提供，参赛选手可以根据竞赛需要自行选择使用。</w:t>
      </w:r>
    </w:p>
    <w:p>
      <w:pPr>
        <w:widowControl w:val="0"/>
        <w:spacing w:line="360" w:lineRule="auto"/>
        <w:ind w:firstLine="573"/>
        <w:jc w:val="both"/>
        <w:rPr>
          <w:rFonts w:ascii="仿宋" w:hAnsi="仿宋" w:eastAsia="仿宋" w:cs="仿宋"/>
          <w:bCs/>
        </w:rPr>
      </w:pPr>
      <w:r>
        <w:rPr>
          <w:rFonts w:hint="eastAsia" w:ascii="仿宋" w:hAnsi="仿宋" w:eastAsia="仿宋" w:cs="仿宋"/>
          <w:bCs/>
        </w:rPr>
        <w:t>6.严禁参赛选手私自携带通讯、照相、摄录设备进入赛场。</w:t>
      </w:r>
    </w:p>
    <w:p>
      <w:pPr>
        <w:widowControl w:val="0"/>
        <w:spacing w:line="360" w:lineRule="auto"/>
        <w:ind w:firstLine="573"/>
        <w:jc w:val="both"/>
        <w:rPr>
          <w:rFonts w:ascii="仿宋" w:hAnsi="仿宋" w:eastAsia="仿宋" w:cs="仿宋"/>
          <w:bCs/>
        </w:rPr>
      </w:pPr>
      <w:r>
        <w:rPr>
          <w:rFonts w:hint="eastAsia" w:ascii="仿宋" w:hAnsi="仿宋" w:eastAsia="仿宋" w:cs="仿宋"/>
          <w:bCs/>
        </w:rPr>
        <w:t>7.所有人员在赛场内不得喧哗，不得有影响其他选手完成任务的行为。</w:t>
      </w:r>
    </w:p>
    <w:p>
      <w:pPr>
        <w:widowControl w:val="0"/>
        <w:spacing w:line="360" w:lineRule="auto"/>
        <w:ind w:firstLine="573"/>
        <w:jc w:val="both"/>
        <w:rPr>
          <w:rFonts w:ascii="仿宋" w:hAnsi="仿宋" w:eastAsia="仿宋" w:cs="仿宋"/>
          <w:bCs/>
        </w:rPr>
      </w:pPr>
      <w:r>
        <w:rPr>
          <w:rFonts w:hint="eastAsia" w:ascii="仿宋" w:hAnsi="仿宋" w:eastAsia="仿宋" w:cs="仿宋"/>
          <w:bCs/>
        </w:rPr>
        <w:t>8.竞赛操作结束时，参赛选手应提交相应的“比赛结束物料及文件提交确认单”，并与监考人员共同签字确认后，按照指定路线有序离开赛场。</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（四）成绩评定及公布</w:t>
      </w:r>
    </w:p>
    <w:p>
      <w:pPr>
        <w:widowControl w:val="0"/>
        <w:spacing w:line="360" w:lineRule="auto"/>
        <w:ind w:firstLine="573"/>
        <w:jc w:val="both"/>
        <w:rPr>
          <w:rFonts w:ascii="仿宋" w:hAnsi="仿宋" w:eastAsia="仿宋" w:cs="仿宋"/>
          <w:bCs/>
        </w:rPr>
      </w:pPr>
      <w:r>
        <w:rPr>
          <w:rFonts w:hint="eastAsia" w:ascii="仿宋" w:hAnsi="仿宋" w:eastAsia="仿宋" w:cs="仿宋"/>
          <w:bCs/>
        </w:rPr>
        <w:t>比赛结束后，由各裁判组对参赛选手提交的竞赛结果逐项评分，并进行成绩汇总和复核，汇总复核后的成绩经裁判长核准签字后上交执委会，经执委会核准确认后，在</w:t>
      </w:r>
      <w:r>
        <w:rPr>
          <w:rFonts w:hint="eastAsia" w:ascii="仿宋" w:hAnsi="仿宋" w:eastAsia="仿宋" w:cs="仿宋"/>
          <w:bCs/>
          <w:lang w:eastAsia="zh-CN"/>
        </w:rPr>
        <w:t>浙江省大学生科技竞赛网上</w:t>
      </w:r>
      <w:r>
        <w:rPr>
          <w:rFonts w:hint="eastAsia" w:ascii="仿宋" w:hAnsi="仿宋" w:eastAsia="仿宋" w:cs="仿宋"/>
          <w:bCs/>
        </w:rPr>
        <w:t>公布 。</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七、竞赛环境</w:t>
      </w:r>
    </w:p>
    <w:p>
      <w:pPr>
        <w:widowControl w:val="0"/>
        <w:spacing w:line="360" w:lineRule="auto"/>
        <w:ind w:firstLine="573"/>
        <w:jc w:val="both"/>
        <w:rPr>
          <w:rFonts w:ascii="仿宋" w:hAnsi="仿宋" w:eastAsia="仿宋" w:cs="仿宋"/>
          <w:bCs/>
        </w:rPr>
      </w:pPr>
      <w:r>
        <w:rPr>
          <w:rFonts w:hint="eastAsia" w:ascii="仿宋" w:hAnsi="仿宋" w:eastAsia="仿宋" w:cs="仿宋"/>
          <w:bCs/>
        </w:rPr>
        <w:t>赛场总面积依参赛名额确定比赛工作区，每个工作区面积在6㎡左右，每个工作区标明编号，工作区之间的通道间隔不小于1.5米，工位间加装隔离挡板或隔离线。另外，设置医务室一间、监考/裁判会议室兼休息室1间，设备、材料、工具、耗材等储藏室1间。颁奖场地和参赛选手休息场地另计。</w:t>
      </w:r>
    </w:p>
    <w:p>
      <w:pPr>
        <w:widowControl w:val="0"/>
        <w:spacing w:line="360" w:lineRule="auto"/>
        <w:ind w:firstLine="573"/>
        <w:jc w:val="both"/>
        <w:rPr>
          <w:rFonts w:ascii="仿宋" w:hAnsi="仿宋" w:eastAsia="仿宋" w:cs="仿宋"/>
          <w:bCs/>
        </w:rPr>
      </w:pPr>
      <w:r>
        <w:rPr>
          <w:rFonts w:hint="eastAsia" w:ascii="仿宋" w:hAnsi="仿宋" w:eastAsia="仿宋" w:cs="仿宋"/>
          <w:bCs/>
        </w:rPr>
        <w:t>环境标准要求保证赛场采光(大于500lux)、照明和通风良好；提供稳定的水、电，并提供应急的备用电源。在竞赛不被干扰的前提下赛场全面开放，欢迎各界人员沿指定路线、在指定区域内到现场观赛。具备两个以上安全疏散通道，并设有应急疏散图，配备必要的灭火器材。</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八、技术规范</w:t>
      </w:r>
    </w:p>
    <w:p>
      <w:pPr>
        <w:widowControl w:val="0"/>
        <w:spacing w:line="360" w:lineRule="auto"/>
        <w:ind w:firstLine="573"/>
        <w:jc w:val="both"/>
        <w:rPr>
          <w:rFonts w:ascii="仿宋" w:hAnsi="仿宋" w:eastAsia="仿宋" w:cs="仿宋"/>
          <w:bCs/>
        </w:rPr>
      </w:pPr>
      <w:r>
        <w:rPr>
          <w:rFonts w:hint="eastAsia" w:ascii="仿宋" w:hAnsi="仿宋" w:eastAsia="仿宋" w:cs="仿宋"/>
          <w:bCs/>
        </w:rPr>
        <w:t>1.家用电子产品维修工国家职业标准（职业编码4-07-10-01）</w:t>
      </w:r>
    </w:p>
    <w:p>
      <w:pPr>
        <w:widowControl w:val="0"/>
        <w:spacing w:line="360" w:lineRule="auto"/>
        <w:ind w:firstLine="573"/>
        <w:jc w:val="both"/>
        <w:rPr>
          <w:rFonts w:ascii="仿宋" w:hAnsi="仿宋" w:eastAsia="仿宋" w:cs="仿宋"/>
          <w:bCs/>
        </w:rPr>
      </w:pPr>
      <w:r>
        <w:rPr>
          <w:rFonts w:hint="eastAsia" w:ascii="仿宋" w:hAnsi="仿宋" w:eastAsia="仿宋" w:cs="仿宋"/>
          <w:bCs/>
        </w:rPr>
        <w:t>2.计算机操作员国家职业标准（职业编码3-01-02-05）</w:t>
      </w:r>
    </w:p>
    <w:p>
      <w:pPr>
        <w:widowControl w:val="0"/>
        <w:spacing w:line="360" w:lineRule="auto"/>
        <w:ind w:firstLine="573"/>
        <w:jc w:val="both"/>
        <w:rPr>
          <w:rFonts w:ascii="仿宋" w:hAnsi="仿宋" w:eastAsia="仿宋" w:cs="仿宋"/>
          <w:bCs/>
        </w:rPr>
      </w:pPr>
      <w:r>
        <w:rPr>
          <w:rFonts w:hint="eastAsia" w:ascii="仿宋" w:hAnsi="仿宋" w:eastAsia="仿宋" w:cs="仿宋"/>
          <w:bCs/>
        </w:rPr>
        <w:t>3.计算机（微机）维修工国家职业标准（职业编码6-08-05-01）</w:t>
      </w:r>
    </w:p>
    <w:p>
      <w:pPr>
        <w:widowControl w:val="0"/>
        <w:spacing w:line="360" w:lineRule="auto"/>
        <w:ind w:firstLine="573"/>
        <w:jc w:val="both"/>
        <w:rPr>
          <w:rFonts w:ascii="仿宋" w:hAnsi="仿宋" w:eastAsia="仿宋" w:cs="仿宋"/>
          <w:bCs/>
        </w:rPr>
      </w:pPr>
      <w:r>
        <w:rPr>
          <w:rFonts w:hint="eastAsia" w:ascii="仿宋" w:hAnsi="仿宋" w:eastAsia="仿宋" w:cs="仿宋"/>
          <w:bCs/>
        </w:rPr>
        <w:t>4.计算机硬件技术人员国家职业标准（2-02-13-01）</w:t>
      </w:r>
    </w:p>
    <w:p>
      <w:pPr>
        <w:widowControl w:val="0"/>
        <w:spacing w:line="360" w:lineRule="auto"/>
        <w:ind w:firstLine="573"/>
        <w:jc w:val="both"/>
        <w:rPr>
          <w:rFonts w:ascii="仿宋" w:hAnsi="仿宋" w:eastAsia="仿宋" w:cs="仿宋"/>
          <w:bCs/>
        </w:rPr>
      </w:pPr>
      <w:r>
        <w:rPr>
          <w:rFonts w:hint="eastAsia" w:ascii="仿宋" w:hAnsi="仿宋" w:eastAsia="仿宋" w:cs="仿宋"/>
          <w:bCs/>
        </w:rPr>
        <w:t>5.电子计算机装配调试员国家职业标准（职业编码6-08-04-07）</w:t>
      </w:r>
    </w:p>
    <w:p>
      <w:pPr>
        <w:widowControl w:val="0"/>
        <w:spacing w:line="360" w:lineRule="auto"/>
        <w:ind w:firstLine="573"/>
        <w:jc w:val="both"/>
        <w:rPr>
          <w:rFonts w:ascii="仿宋" w:hAnsi="仿宋" w:eastAsia="仿宋" w:cs="仿宋"/>
          <w:bCs/>
        </w:rPr>
      </w:pPr>
      <w:r>
        <w:rPr>
          <w:rFonts w:hint="eastAsia" w:ascii="仿宋" w:hAnsi="仿宋" w:eastAsia="仿宋" w:cs="仿宋"/>
          <w:bCs/>
        </w:rPr>
        <w:t>6.电子设备装接工国家职业标准（职业编码6-08-04-02）</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九、技术平台</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（一）比赛器材及具体要求说明</w:t>
      </w:r>
    </w:p>
    <w:tbl>
      <w:tblPr>
        <w:tblStyle w:val="24"/>
        <w:tblW w:w="875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2643"/>
        <w:gridCol w:w="5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b/>
              </w:rPr>
            </w:pPr>
            <w:r>
              <w:rPr>
                <w:rFonts w:hint="eastAsia" w:ascii="仿宋" w:hAnsi="仿宋" w:eastAsia="仿宋"/>
                <w:b/>
              </w:rPr>
              <w:t>序号</w:t>
            </w:r>
          </w:p>
        </w:tc>
        <w:tc>
          <w:tcPr>
            <w:tcW w:w="264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b/>
              </w:rPr>
            </w:pPr>
            <w:r>
              <w:rPr>
                <w:rFonts w:hint="eastAsia" w:ascii="仿宋" w:hAnsi="仿宋" w:eastAsia="仿宋"/>
                <w:b/>
              </w:rPr>
              <w:t>仪器设备</w:t>
            </w:r>
          </w:p>
        </w:tc>
        <w:tc>
          <w:tcPr>
            <w:tcW w:w="540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b/>
              </w:rPr>
            </w:pPr>
            <w:r>
              <w:rPr>
                <w:rFonts w:hint="eastAsia" w:ascii="仿宋" w:hAnsi="仿宋" w:eastAsia="仿宋"/>
                <w:b/>
              </w:rPr>
              <w:t>规格说明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nil"/>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1</w:t>
            </w:r>
          </w:p>
        </w:tc>
        <w:tc>
          <w:tcPr>
            <w:tcW w:w="2643" w:type="dxa"/>
            <w:tcBorders>
              <w:top w:val="nil"/>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维修工作台</w:t>
            </w:r>
          </w:p>
        </w:tc>
        <w:tc>
          <w:tcPr>
            <w:tcW w:w="5403" w:type="dxa"/>
            <w:tcBorders>
              <w:top w:val="nil"/>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防静电维修工作台</w:t>
            </w:r>
            <w:r>
              <w:rPr>
                <w:rFonts w:hint="eastAsia" w:ascii="仿宋" w:hAnsi="仿宋" w:eastAsia="仿宋"/>
                <w:lang w:eastAsia="zh-CN"/>
              </w:rPr>
              <w:t>（参照国赛</w:t>
            </w:r>
            <w:r>
              <w:rPr>
                <w:rFonts w:hint="eastAsia" w:ascii="仿宋" w:hAnsi="仿宋" w:eastAsia="仿宋"/>
                <w:lang w:val="en-US" w:eastAsia="zh-CN"/>
              </w:rPr>
              <w:t>2017年平台</w:t>
            </w:r>
            <w:bookmarkStart w:id="0" w:name="_GoBack"/>
            <w:bookmarkEnd w:id="0"/>
            <w:r>
              <w:rPr>
                <w:rFonts w:hint="eastAsia" w:ascii="仿宋" w:hAnsi="仿宋" w:eastAsia="仿宋"/>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nil"/>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2</w:t>
            </w:r>
          </w:p>
        </w:tc>
        <w:tc>
          <w:tcPr>
            <w:tcW w:w="2643" w:type="dxa"/>
            <w:tcBorders>
              <w:top w:val="nil"/>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数字万用表</w:t>
            </w:r>
          </w:p>
        </w:tc>
        <w:tc>
          <w:tcPr>
            <w:tcW w:w="5403" w:type="dxa"/>
            <w:tcBorders>
              <w:top w:val="nil"/>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交流电压1000V±(0.8%+3)，直流电流20A±(0.8%+1)，直流电压1000V±(0.5%+1)，交流电流20A±(1%+3)，电阻200MW±(0.8%+1)，电容100mF±(4%+3)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nil"/>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3</w:t>
            </w:r>
          </w:p>
        </w:tc>
        <w:tc>
          <w:tcPr>
            <w:tcW w:w="2643" w:type="dxa"/>
            <w:tcBorders>
              <w:top w:val="nil"/>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数字示波器</w:t>
            </w:r>
          </w:p>
        </w:tc>
        <w:tc>
          <w:tcPr>
            <w:tcW w:w="5403" w:type="dxa"/>
            <w:tcBorders>
              <w:top w:val="nil"/>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双通道示波器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nil"/>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4</w:t>
            </w:r>
          </w:p>
        </w:tc>
        <w:tc>
          <w:tcPr>
            <w:tcW w:w="2643" w:type="dxa"/>
            <w:tcBorders>
              <w:top w:val="nil"/>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恒温烙铁</w:t>
            </w:r>
          </w:p>
        </w:tc>
        <w:tc>
          <w:tcPr>
            <w:tcW w:w="5403" w:type="dxa"/>
            <w:tcBorders>
              <w:top w:val="nil"/>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温度调节范围 150-450（℃）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5</w:t>
            </w:r>
          </w:p>
        </w:tc>
        <w:tc>
          <w:tcPr>
            <w:tcW w:w="264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热风焊台</w:t>
            </w:r>
          </w:p>
        </w:tc>
        <w:tc>
          <w:tcPr>
            <w:tcW w:w="5403"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温度调节范围：100～480℃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6</w:t>
            </w:r>
          </w:p>
        </w:tc>
        <w:tc>
          <w:tcPr>
            <w:tcW w:w="264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直流稳压电源</w:t>
            </w:r>
          </w:p>
        </w:tc>
        <w:tc>
          <w:tcPr>
            <w:tcW w:w="5403"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I路以上0-30 V可变电压输出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7</w:t>
            </w:r>
          </w:p>
        </w:tc>
        <w:tc>
          <w:tcPr>
            <w:tcW w:w="264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放大镜台灯</w:t>
            </w:r>
          </w:p>
        </w:tc>
        <w:tc>
          <w:tcPr>
            <w:tcW w:w="5403"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高强照明、五倍放大功能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8</w:t>
            </w:r>
          </w:p>
        </w:tc>
        <w:tc>
          <w:tcPr>
            <w:tcW w:w="264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工具箱（含工具）</w:t>
            </w:r>
          </w:p>
        </w:tc>
        <w:tc>
          <w:tcPr>
            <w:tcW w:w="5403"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内含螺丝刀套件、芯片盒、细毛刷、含银硅脂、洗板水壶、吸锡枪、助焊膏、尖嘴钳、偏口钳、焊锡丝、吸锡带、飞线、刀片、粗毛刷、防静电镊子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9</w:t>
            </w:r>
          </w:p>
        </w:tc>
        <w:tc>
          <w:tcPr>
            <w:tcW w:w="2643" w:type="dxa"/>
            <w:tcBorders>
              <w:top w:val="single" w:color="auto" w:sz="4" w:space="0"/>
              <w:left w:val="nil"/>
              <w:bottom w:val="single" w:color="auto" w:sz="4" w:space="0"/>
              <w:right w:val="single" w:color="auto" w:sz="4" w:space="0"/>
            </w:tcBorders>
            <w:vAlign w:val="center"/>
          </w:tcPr>
          <w:p>
            <w:pPr>
              <w:spacing w:line="240" w:lineRule="auto"/>
              <w:jc w:val="center"/>
              <w:rPr>
                <w:rFonts w:ascii="仿宋" w:hAnsi="仿宋" w:eastAsia="仿宋"/>
              </w:rPr>
            </w:pPr>
            <w:r>
              <w:rPr>
                <w:rFonts w:hint="eastAsia" w:ascii="仿宋" w:hAnsi="仿宋" w:eastAsia="仿宋"/>
              </w:rPr>
              <w:t>电脑主机</w:t>
            </w:r>
          </w:p>
        </w:tc>
        <w:tc>
          <w:tcPr>
            <w:tcW w:w="5403" w:type="dxa"/>
            <w:tcBorders>
              <w:top w:val="single" w:color="auto" w:sz="4" w:space="0"/>
              <w:left w:val="nil"/>
              <w:bottom w:val="single" w:color="auto" w:sz="4" w:space="0"/>
              <w:right w:val="single" w:color="auto" w:sz="4" w:space="0"/>
            </w:tcBorders>
            <w:vAlign w:val="center"/>
          </w:tcPr>
          <w:p>
            <w:pPr>
              <w:spacing w:line="240" w:lineRule="auto"/>
              <w:rPr>
                <w:rFonts w:ascii="仿宋" w:hAnsi="仿宋" w:eastAsia="仿宋"/>
              </w:rPr>
            </w:pPr>
            <w:r>
              <w:rPr>
                <w:rFonts w:hint="eastAsia" w:ascii="仿宋" w:hAnsi="仿宋" w:eastAsia="仿宋"/>
              </w:rPr>
              <w:t>主频1GHz或以上CPU，1GB或以上内存，安装Win7操作系统。</w:t>
            </w:r>
          </w:p>
        </w:tc>
      </w:tr>
    </w:tbl>
    <w:p>
      <w:pPr>
        <w:pStyle w:val="5"/>
        <w:ind w:firstLine="484"/>
        <w:jc w:val="both"/>
        <w:rPr>
          <w:rFonts w:ascii="仿宋" w:hAnsi="仿宋" w:eastAsia="仿宋" w:cs="仿宋"/>
          <w:b/>
          <w:sz w:val="24"/>
          <w:szCs w:val="24"/>
        </w:rPr>
      </w:pPr>
      <w:r>
        <w:rPr>
          <w:rFonts w:hint="eastAsia" w:ascii="仿宋" w:hAnsi="仿宋" w:eastAsia="仿宋" w:cs="仿宋"/>
          <w:b/>
          <w:sz w:val="24"/>
          <w:szCs w:val="24"/>
        </w:rPr>
        <w:t>（二）技术平台标准</w:t>
      </w:r>
    </w:p>
    <w:tbl>
      <w:tblPr>
        <w:tblStyle w:val="24"/>
        <w:tblW w:w="84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3772"/>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00" w:type="dxa"/>
            <w:vAlign w:val="center"/>
          </w:tcPr>
          <w:p>
            <w:pPr>
              <w:spacing w:line="240" w:lineRule="auto"/>
              <w:jc w:val="center"/>
              <w:rPr>
                <w:rFonts w:ascii="仿宋" w:hAnsi="仿宋" w:eastAsia="仿宋"/>
                <w:b/>
              </w:rPr>
            </w:pPr>
            <w:r>
              <w:rPr>
                <w:rFonts w:hint="eastAsia" w:ascii="仿宋" w:hAnsi="仿宋" w:eastAsia="仿宋"/>
                <w:b/>
              </w:rPr>
              <w:t>序号</w:t>
            </w:r>
          </w:p>
        </w:tc>
        <w:tc>
          <w:tcPr>
            <w:tcW w:w="3772" w:type="dxa"/>
            <w:vAlign w:val="center"/>
          </w:tcPr>
          <w:p>
            <w:pPr>
              <w:spacing w:line="240" w:lineRule="auto"/>
              <w:jc w:val="center"/>
              <w:rPr>
                <w:rFonts w:ascii="仿宋" w:hAnsi="仿宋" w:eastAsia="仿宋"/>
                <w:b/>
              </w:rPr>
            </w:pPr>
            <w:r>
              <w:rPr>
                <w:rFonts w:hint="eastAsia" w:ascii="仿宋" w:hAnsi="仿宋" w:eastAsia="仿宋"/>
                <w:b/>
              </w:rPr>
              <w:t>产品名称</w:t>
            </w:r>
          </w:p>
        </w:tc>
        <w:tc>
          <w:tcPr>
            <w:tcW w:w="3375" w:type="dxa"/>
            <w:vAlign w:val="center"/>
          </w:tcPr>
          <w:p>
            <w:pPr>
              <w:spacing w:line="240" w:lineRule="auto"/>
              <w:jc w:val="center"/>
              <w:rPr>
                <w:rFonts w:ascii="仿宋" w:hAnsi="仿宋" w:eastAsia="仿宋"/>
                <w:b/>
              </w:rPr>
            </w:pPr>
            <w:r>
              <w:rPr>
                <w:rFonts w:hint="eastAsia" w:ascii="仿宋" w:hAnsi="仿宋" w:eastAsia="仿宋"/>
                <w:b/>
              </w:rPr>
              <w:t>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00" w:type="dxa"/>
            <w:vAlign w:val="center"/>
          </w:tcPr>
          <w:p>
            <w:pPr>
              <w:spacing w:line="240" w:lineRule="auto"/>
              <w:jc w:val="center"/>
              <w:rPr>
                <w:rFonts w:ascii="仿宋" w:hAnsi="仿宋" w:eastAsia="仿宋"/>
              </w:rPr>
            </w:pPr>
            <w:r>
              <w:rPr>
                <w:rFonts w:hint="eastAsia" w:ascii="仿宋" w:hAnsi="仿宋" w:eastAsia="仿宋"/>
              </w:rPr>
              <w:t>1</w:t>
            </w:r>
          </w:p>
        </w:tc>
        <w:tc>
          <w:tcPr>
            <w:tcW w:w="3772" w:type="dxa"/>
            <w:vAlign w:val="center"/>
          </w:tcPr>
          <w:p>
            <w:pPr>
              <w:spacing w:line="240" w:lineRule="auto"/>
              <w:jc w:val="center"/>
              <w:rPr>
                <w:rFonts w:ascii="仿宋" w:hAnsi="仿宋" w:eastAsia="仿宋"/>
              </w:rPr>
            </w:pPr>
            <w:r>
              <w:rPr>
                <w:rFonts w:hint="eastAsia" w:ascii="仿宋" w:hAnsi="仿宋" w:eastAsia="仿宋"/>
              </w:rPr>
              <w:t>智能检测平台中心管理系统</w:t>
            </w:r>
          </w:p>
        </w:tc>
        <w:tc>
          <w:tcPr>
            <w:tcW w:w="3375" w:type="dxa"/>
            <w:vAlign w:val="center"/>
          </w:tcPr>
          <w:p>
            <w:pPr>
              <w:spacing w:line="240" w:lineRule="auto"/>
              <w:jc w:val="center"/>
              <w:rPr>
                <w:rFonts w:ascii="仿宋" w:hAnsi="仿宋" w:eastAsia="仿宋"/>
              </w:rPr>
            </w:pPr>
            <w:r>
              <w:rPr>
                <w:rFonts w:hint="eastAsia" w:ascii="仿宋" w:hAnsi="仿宋" w:eastAsia="仿宋"/>
              </w:rPr>
              <w:t>中盈创信</w:t>
            </w:r>
            <w:r>
              <w:rPr>
                <w:rFonts w:ascii="仿宋" w:hAnsi="仿宋" w:eastAsia="仿宋"/>
              </w:rPr>
              <w:t>SOL-MANAGER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00" w:type="dxa"/>
            <w:vAlign w:val="center"/>
          </w:tcPr>
          <w:p>
            <w:pPr>
              <w:spacing w:line="240" w:lineRule="auto"/>
              <w:jc w:val="center"/>
              <w:rPr>
                <w:rFonts w:ascii="仿宋" w:hAnsi="仿宋" w:eastAsia="仿宋"/>
              </w:rPr>
            </w:pPr>
            <w:r>
              <w:rPr>
                <w:rFonts w:hint="eastAsia" w:ascii="仿宋" w:hAnsi="仿宋" w:eastAsia="仿宋"/>
              </w:rPr>
              <w:t>2</w:t>
            </w:r>
          </w:p>
        </w:tc>
        <w:tc>
          <w:tcPr>
            <w:tcW w:w="3772" w:type="dxa"/>
            <w:vAlign w:val="center"/>
          </w:tcPr>
          <w:p>
            <w:pPr>
              <w:spacing w:line="240" w:lineRule="auto"/>
              <w:jc w:val="center"/>
              <w:rPr>
                <w:rFonts w:ascii="仿宋" w:hAnsi="仿宋" w:eastAsia="仿宋"/>
              </w:rPr>
            </w:pPr>
            <w:r>
              <w:rPr>
                <w:rFonts w:hint="eastAsia" w:ascii="仿宋" w:hAnsi="仿宋" w:eastAsia="仿宋"/>
              </w:rPr>
              <w:t>智能检测软件</w:t>
            </w:r>
          </w:p>
        </w:tc>
        <w:tc>
          <w:tcPr>
            <w:tcW w:w="3375" w:type="dxa"/>
            <w:vAlign w:val="center"/>
          </w:tcPr>
          <w:p>
            <w:pPr>
              <w:spacing w:line="240" w:lineRule="auto"/>
              <w:jc w:val="center"/>
              <w:rPr>
                <w:rFonts w:ascii="仿宋" w:hAnsi="仿宋" w:eastAsia="仿宋"/>
              </w:rPr>
            </w:pPr>
            <w:r>
              <w:rPr>
                <w:rFonts w:hint="eastAsia" w:ascii="仿宋" w:hAnsi="仿宋" w:eastAsia="仿宋"/>
              </w:rPr>
              <w:t>中盈创信</w:t>
            </w:r>
            <w:r>
              <w:rPr>
                <w:rFonts w:ascii="仿宋" w:hAnsi="仿宋" w:eastAsia="仿宋"/>
              </w:rPr>
              <w:t>SOL-SOFT-X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00" w:type="dxa"/>
            <w:vAlign w:val="center"/>
          </w:tcPr>
          <w:p>
            <w:pPr>
              <w:spacing w:line="240" w:lineRule="auto"/>
              <w:jc w:val="center"/>
              <w:rPr>
                <w:rFonts w:ascii="仿宋" w:hAnsi="仿宋" w:eastAsia="仿宋"/>
              </w:rPr>
            </w:pPr>
            <w:r>
              <w:rPr>
                <w:rFonts w:hint="eastAsia" w:ascii="仿宋" w:hAnsi="仿宋" w:eastAsia="仿宋"/>
              </w:rPr>
              <w:t>3</w:t>
            </w:r>
          </w:p>
        </w:tc>
        <w:tc>
          <w:tcPr>
            <w:tcW w:w="3772" w:type="dxa"/>
            <w:vAlign w:val="center"/>
          </w:tcPr>
          <w:p>
            <w:pPr>
              <w:snapToGrid w:val="0"/>
              <w:spacing w:line="240" w:lineRule="auto"/>
              <w:jc w:val="center"/>
              <w:rPr>
                <w:rFonts w:ascii="仿宋" w:hAnsi="仿宋" w:eastAsia="仿宋" w:cs="Arial"/>
              </w:rPr>
            </w:pPr>
            <w:r>
              <w:rPr>
                <w:rFonts w:hint="eastAsia" w:ascii="仿宋" w:hAnsi="仿宋" w:eastAsia="仿宋" w:cs="Arial"/>
                <w:bCs/>
              </w:rPr>
              <w:t>智能检测平台</w:t>
            </w:r>
          </w:p>
        </w:tc>
        <w:tc>
          <w:tcPr>
            <w:tcW w:w="3375" w:type="dxa"/>
            <w:vAlign w:val="center"/>
          </w:tcPr>
          <w:p>
            <w:pPr>
              <w:snapToGrid w:val="0"/>
              <w:spacing w:line="240" w:lineRule="auto"/>
              <w:jc w:val="center"/>
              <w:rPr>
                <w:rFonts w:ascii="仿宋" w:hAnsi="仿宋" w:eastAsia="仿宋" w:cs="Arial"/>
              </w:rPr>
            </w:pPr>
            <w:r>
              <w:rPr>
                <w:rFonts w:hint="eastAsia" w:ascii="仿宋" w:hAnsi="仿宋" w:eastAsia="仿宋"/>
              </w:rPr>
              <w:t>中盈创信</w:t>
            </w:r>
            <w:r>
              <w:rPr>
                <w:rFonts w:ascii="仿宋" w:hAnsi="仿宋" w:eastAsia="仿宋" w:cs="Arial"/>
              </w:rPr>
              <w:t>SOL-MONITOR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00" w:type="dxa"/>
            <w:vAlign w:val="center"/>
          </w:tcPr>
          <w:p>
            <w:pPr>
              <w:spacing w:line="240" w:lineRule="auto"/>
              <w:jc w:val="center"/>
              <w:rPr>
                <w:rFonts w:ascii="仿宋" w:hAnsi="仿宋" w:eastAsia="仿宋"/>
              </w:rPr>
            </w:pPr>
            <w:r>
              <w:rPr>
                <w:rFonts w:hint="eastAsia" w:ascii="仿宋" w:hAnsi="仿宋" w:eastAsia="仿宋"/>
              </w:rPr>
              <w:t>4</w:t>
            </w:r>
          </w:p>
        </w:tc>
        <w:tc>
          <w:tcPr>
            <w:tcW w:w="3772" w:type="dxa"/>
            <w:vAlign w:val="center"/>
          </w:tcPr>
          <w:p>
            <w:pPr>
              <w:spacing w:line="240" w:lineRule="auto"/>
              <w:jc w:val="center"/>
              <w:rPr>
                <w:rFonts w:ascii="仿宋" w:hAnsi="仿宋" w:eastAsia="仿宋"/>
              </w:rPr>
            </w:pPr>
            <w:r>
              <w:rPr>
                <w:rFonts w:hint="eastAsia" w:ascii="仿宋" w:hAnsi="仿宋" w:eastAsia="仿宋"/>
              </w:rPr>
              <w:t>电脑内置操作系统软件</w:t>
            </w:r>
          </w:p>
        </w:tc>
        <w:tc>
          <w:tcPr>
            <w:tcW w:w="3375" w:type="dxa"/>
            <w:vAlign w:val="center"/>
          </w:tcPr>
          <w:p>
            <w:pPr>
              <w:spacing w:line="240" w:lineRule="auto"/>
              <w:jc w:val="center"/>
              <w:rPr>
                <w:rFonts w:ascii="仿宋" w:hAnsi="仿宋" w:eastAsia="仿宋"/>
              </w:rPr>
            </w:pPr>
            <w:r>
              <w:rPr>
                <w:rFonts w:ascii="仿宋" w:hAnsi="仿宋" w:eastAsia="仿宋"/>
              </w:rPr>
              <w:t>Window</w:t>
            </w:r>
            <w:r>
              <w:rPr>
                <w:rFonts w:hint="eastAsia" w:ascii="仿宋" w:hAnsi="仿宋" w:eastAsia="仿宋"/>
              </w:rPr>
              <w:t xml:space="preserve">s XP专业版  </w:t>
            </w:r>
            <w:r>
              <w:rPr>
                <w:rFonts w:ascii="仿宋" w:hAnsi="仿宋" w:eastAsia="仿宋"/>
              </w:rPr>
              <w:t>Window</w:t>
            </w:r>
            <w:r>
              <w:rPr>
                <w:rFonts w:hint="eastAsia" w:ascii="仿宋" w:hAnsi="仿宋" w:eastAsia="仿宋"/>
              </w:rPr>
              <w:t>s 7家庭板或旗舰板</w:t>
            </w:r>
          </w:p>
        </w:tc>
      </w:tr>
    </w:tbl>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十、评分标准</w:t>
      </w:r>
    </w:p>
    <w:tbl>
      <w:tblPr>
        <w:tblStyle w:val="24"/>
        <w:tblW w:w="8318" w:type="dxa"/>
        <w:jc w:val="center"/>
        <w:tblInd w:w="120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3"/>
        <w:gridCol w:w="946"/>
        <w:gridCol w:w="3945"/>
        <w:gridCol w:w="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2553"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rPr>
                <w:rFonts w:ascii="仿宋" w:hAnsi="仿宋" w:eastAsia="仿宋" w:cs="仿宋"/>
                <w:b/>
                <w:bCs/>
              </w:rPr>
            </w:pPr>
            <w:r>
              <w:rPr>
                <w:rFonts w:hint="eastAsia" w:ascii="仿宋" w:hAnsi="仿宋" w:eastAsia="仿宋" w:cs="仿宋"/>
                <w:b/>
                <w:bCs/>
              </w:rPr>
              <w:t>一级指标</w:t>
            </w:r>
          </w:p>
        </w:tc>
        <w:tc>
          <w:tcPr>
            <w:tcW w:w="946" w:type="dxa"/>
            <w:tcBorders>
              <w:top w:val="single" w:color="000000" w:sz="4" w:space="0"/>
              <w:left w:val="single" w:color="000000" w:sz="4" w:space="0"/>
              <w:bottom w:val="single" w:color="000000" w:sz="4" w:space="0"/>
              <w:right w:val="single" w:color="000000" w:sz="4" w:space="0"/>
            </w:tcBorders>
            <w:vAlign w:val="center"/>
          </w:tcPr>
          <w:p>
            <w:pPr>
              <w:spacing w:line="240" w:lineRule="auto"/>
              <w:jc w:val="center"/>
              <w:rPr>
                <w:rFonts w:ascii="仿宋" w:hAnsi="仿宋" w:eastAsia="仿宋" w:cs="仿宋"/>
                <w:b/>
                <w:bCs/>
              </w:rPr>
            </w:pPr>
            <w:r>
              <w:rPr>
                <w:rFonts w:hint="eastAsia" w:ascii="仿宋" w:hAnsi="仿宋" w:eastAsia="仿宋" w:cs="仿宋"/>
                <w:b/>
                <w:bCs/>
              </w:rPr>
              <w:t>比例</w:t>
            </w:r>
          </w:p>
        </w:tc>
        <w:tc>
          <w:tcPr>
            <w:tcW w:w="3945" w:type="dxa"/>
            <w:tcBorders>
              <w:top w:val="single" w:color="000000" w:sz="4" w:space="0"/>
              <w:left w:val="nil"/>
              <w:bottom w:val="single" w:color="000000" w:sz="4" w:space="0"/>
              <w:right w:val="single" w:color="000000" w:sz="4" w:space="0"/>
            </w:tcBorders>
            <w:vAlign w:val="center"/>
          </w:tcPr>
          <w:p>
            <w:pPr>
              <w:spacing w:line="240" w:lineRule="auto"/>
              <w:jc w:val="center"/>
              <w:rPr>
                <w:rFonts w:ascii="仿宋" w:hAnsi="仿宋" w:eastAsia="仿宋" w:cs="仿宋"/>
                <w:b/>
                <w:bCs/>
              </w:rPr>
            </w:pPr>
            <w:r>
              <w:rPr>
                <w:rFonts w:hint="eastAsia" w:ascii="仿宋" w:hAnsi="仿宋" w:eastAsia="仿宋" w:cs="仿宋"/>
                <w:b/>
                <w:bCs/>
              </w:rPr>
              <w:t>二级指标</w:t>
            </w:r>
          </w:p>
        </w:tc>
        <w:tc>
          <w:tcPr>
            <w:tcW w:w="874" w:type="dxa"/>
            <w:tcBorders>
              <w:top w:val="single" w:color="000000" w:sz="4" w:space="0"/>
              <w:left w:val="nil"/>
              <w:bottom w:val="single" w:color="000000" w:sz="4" w:space="0"/>
              <w:right w:val="single" w:color="000000" w:sz="4" w:space="0"/>
            </w:tcBorders>
            <w:vAlign w:val="center"/>
          </w:tcPr>
          <w:p>
            <w:pPr>
              <w:spacing w:line="240" w:lineRule="auto"/>
              <w:jc w:val="center"/>
              <w:rPr>
                <w:rFonts w:ascii="仿宋" w:hAnsi="仿宋" w:eastAsia="仿宋" w:cs="仿宋"/>
                <w:b/>
                <w:bCs/>
              </w:rPr>
            </w:pPr>
            <w:r>
              <w:rPr>
                <w:rFonts w:hint="eastAsia" w:ascii="仿宋" w:hAnsi="仿宋" w:eastAsia="仿宋" w:cs="仿宋"/>
                <w:b/>
                <w:bCs/>
              </w:rPr>
              <w:t>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3" w:hRule="atLeast"/>
          <w:jc w:val="center"/>
        </w:trPr>
        <w:tc>
          <w:tcPr>
            <w:tcW w:w="2553" w:type="dxa"/>
            <w:vMerge w:val="restart"/>
            <w:tcBorders>
              <w:top w:val="single" w:color="000000" w:sz="4" w:space="0"/>
              <w:left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电子产品检测维修</w:t>
            </w:r>
          </w:p>
        </w:tc>
        <w:tc>
          <w:tcPr>
            <w:tcW w:w="946" w:type="dxa"/>
            <w:vMerge w:val="restart"/>
            <w:tcBorders>
              <w:top w:val="single" w:color="000000" w:sz="4" w:space="0"/>
              <w:left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lang w:val="en-US" w:eastAsia="zh-CN"/>
              </w:rPr>
              <w:t>4</w:t>
            </w:r>
            <w:r>
              <w:rPr>
                <w:rFonts w:hint="eastAsia" w:ascii="仿宋" w:hAnsi="仿宋" w:eastAsia="仿宋" w:cs="仿宋"/>
                <w:bCs/>
              </w:rPr>
              <w:t>0%</w:t>
            </w:r>
          </w:p>
        </w:tc>
        <w:tc>
          <w:tcPr>
            <w:tcW w:w="3945" w:type="dxa"/>
            <w:tcBorders>
              <w:top w:val="single" w:color="000000" w:sz="4" w:space="0"/>
              <w:left w:val="nil"/>
              <w:bottom w:val="single" w:color="auto" w:sz="4" w:space="0"/>
              <w:right w:val="single" w:color="000000" w:sz="4" w:space="0"/>
            </w:tcBorders>
            <w:vAlign w:val="center"/>
          </w:tcPr>
          <w:p>
            <w:pPr>
              <w:spacing w:line="240" w:lineRule="auto"/>
              <w:rPr>
                <w:rFonts w:ascii="仿宋" w:hAnsi="仿宋" w:eastAsia="仿宋" w:cs="仿宋"/>
                <w:bCs/>
              </w:rPr>
            </w:pPr>
            <w:r>
              <w:rPr>
                <w:rFonts w:hint="eastAsia" w:ascii="仿宋" w:hAnsi="仿宋" w:eastAsia="仿宋" w:cs="仿宋"/>
                <w:bCs/>
              </w:rPr>
              <w:t>功能板故障检测维修结果</w:t>
            </w:r>
          </w:p>
        </w:tc>
        <w:tc>
          <w:tcPr>
            <w:tcW w:w="874" w:type="dxa"/>
            <w:tcBorders>
              <w:top w:val="single" w:color="000000" w:sz="4" w:space="0"/>
              <w:left w:val="nil"/>
              <w:bottom w:val="single" w:color="auto"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lang w:val="en-US" w:eastAsia="zh-CN"/>
              </w:rPr>
              <w:t>3</w:t>
            </w:r>
            <w:r>
              <w:rPr>
                <w:rFonts w:hint="eastAsia" w:ascii="仿宋" w:hAnsi="仿宋" w:eastAsia="仿宋" w:cs="仿宋"/>
                <w:bCs/>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9" w:hRule="atLeast"/>
          <w:jc w:val="center"/>
        </w:trPr>
        <w:tc>
          <w:tcPr>
            <w:tcW w:w="2553" w:type="dxa"/>
            <w:vMerge w:val="continue"/>
            <w:tcBorders>
              <w:left w:val="single" w:color="000000" w:sz="4" w:space="0"/>
              <w:right w:val="single" w:color="000000" w:sz="4" w:space="0"/>
            </w:tcBorders>
            <w:vAlign w:val="center"/>
          </w:tcPr>
          <w:p>
            <w:pPr>
              <w:spacing w:line="240" w:lineRule="auto"/>
              <w:jc w:val="center"/>
              <w:rPr>
                <w:rFonts w:ascii="仿宋" w:hAnsi="仿宋" w:eastAsia="仿宋" w:cs="仿宋"/>
                <w:bCs/>
              </w:rPr>
            </w:pPr>
          </w:p>
        </w:tc>
        <w:tc>
          <w:tcPr>
            <w:tcW w:w="946" w:type="dxa"/>
            <w:vMerge w:val="continue"/>
            <w:tcBorders>
              <w:left w:val="single" w:color="000000" w:sz="4" w:space="0"/>
              <w:right w:val="single" w:color="000000" w:sz="4" w:space="0"/>
            </w:tcBorders>
            <w:vAlign w:val="center"/>
          </w:tcPr>
          <w:p>
            <w:pPr>
              <w:spacing w:line="240" w:lineRule="auto"/>
              <w:jc w:val="center"/>
              <w:rPr>
                <w:rFonts w:ascii="仿宋" w:hAnsi="仿宋" w:eastAsia="仿宋" w:cs="仿宋"/>
                <w:bCs/>
              </w:rPr>
            </w:pPr>
          </w:p>
        </w:tc>
        <w:tc>
          <w:tcPr>
            <w:tcW w:w="3945" w:type="dxa"/>
            <w:tcBorders>
              <w:top w:val="single" w:color="auto" w:sz="4" w:space="0"/>
              <w:left w:val="nil"/>
              <w:bottom w:val="single" w:color="000000" w:sz="4" w:space="0"/>
              <w:right w:val="single" w:color="000000" w:sz="4" w:space="0"/>
            </w:tcBorders>
            <w:vAlign w:val="center"/>
          </w:tcPr>
          <w:p>
            <w:pPr>
              <w:spacing w:line="240" w:lineRule="auto"/>
              <w:rPr>
                <w:rFonts w:ascii="仿宋" w:hAnsi="仿宋" w:eastAsia="仿宋" w:cs="仿宋"/>
                <w:bCs/>
              </w:rPr>
            </w:pPr>
            <w:r>
              <w:rPr>
                <w:rFonts w:hint="eastAsia" w:ascii="仿宋" w:hAnsi="仿宋" w:eastAsia="仿宋" w:cs="仿宋"/>
                <w:bCs/>
              </w:rPr>
              <w:t>功能板检测维修报告</w:t>
            </w:r>
          </w:p>
        </w:tc>
        <w:tc>
          <w:tcPr>
            <w:tcW w:w="874" w:type="dxa"/>
            <w:tcBorders>
              <w:top w:val="single" w:color="auto" w:sz="4" w:space="0"/>
              <w:left w:val="nil"/>
              <w:bottom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2553" w:type="dxa"/>
            <w:vMerge w:val="restart"/>
            <w:tcBorders>
              <w:top w:val="single" w:color="000000" w:sz="4" w:space="0"/>
              <w:left w:val="single" w:color="000000" w:sz="4" w:space="0"/>
              <w:right w:val="single" w:color="000000" w:sz="4" w:space="0"/>
            </w:tcBorders>
            <w:vAlign w:val="center"/>
          </w:tcPr>
          <w:p>
            <w:pPr>
              <w:widowControl w:val="0"/>
              <w:adjustRightInd w:val="0"/>
              <w:snapToGrid w:val="0"/>
              <w:spacing w:line="240" w:lineRule="auto"/>
              <w:jc w:val="center"/>
              <w:rPr>
                <w:rFonts w:ascii="仿宋" w:hAnsi="仿宋" w:eastAsia="仿宋" w:cs="仿宋"/>
                <w:kern w:val="2"/>
              </w:rPr>
            </w:pPr>
            <w:r>
              <w:rPr>
                <w:rFonts w:hint="eastAsia" w:ascii="仿宋" w:hAnsi="仿宋" w:eastAsia="仿宋" w:cs="仿宋"/>
                <w:kern w:val="2"/>
              </w:rPr>
              <w:t>存储设备维修及数据恢复</w:t>
            </w:r>
          </w:p>
        </w:tc>
        <w:tc>
          <w:tcPr>
            <w:tcW w:w="946" w:type="dxa"/>
            <w:vMerge w:val="restart"/>
            <w:tcBorders>
              <w:top w:val="single" w:color="000000" w:sz="4" w:space="0"/>
              <w:left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lang w:val="en-US" w:eastAsia="zh-CN"/>
              </w:rPr>
              <w:t>50</w:t>
            </w:r>
            <w:r>
              <w:rPr>
                <w:rFonts w:hint="eastAsia" w:ascii="仿宋" w:hAnsi="仿宋" w:eastAsia="仿宋" w:cs="仿宋"/>
                <w:bCs/>
              </w:rPr>
              <w:t>%</w:t>
            </w:r>
          </w:p>
        </w:tc>
        <w:tc>
          <w:tcPr>
            <w:tcW w:w="3945" w:type="dxa"/>
            <w:tcBorders>
              <w:top w:val="single" w:color="000000" w:sz="4" w:space="0"/>
              <w:left w:val="nil"/>
              <w:bottom w:val="single" w:color="000000" w:sz="4" w:space="0"/>
              <w:right w:val="single" w:color="000000" w:sz="4" w:space="0"/>
            </w:tcBorders>
            <w:vAlign w:val="center"/>
          </w:tcPr>
          <w:p>
            <w:pPr>
              <w:spacing w:line="240" w:lineRule="auto"/>
              <w:rPr>
                <w:rFonts w:ascii="仿宋" w:hAnsi="仿宋" w:eastAsia="仿宋" w:cs="仿宋"/>
                <w:bCs/>
              </w:rPr>
            </w:pPr>
            <w:r>
              <w:rPr>
                <w:rFonts w:hint="eastAsia" w:ascii="仿宋" w:hAnsi="仿宋" w:eastAsia="仿宋" w:cs="仿宋"/>
                <w:bCs/>
              </w:rPr>
              <w:t>存储设备故障检测维修结果</w:t>
            </w:r>
          </w:p>
        </w:tc>
        <w:tc>
          <w:tcPr>
            <w:tcW w:w="874" w:type="dxa"/>
            <w:tcBorders>
              <w:top w:val="single" w:color="000000" w:sz="4" w:space="0"/>
              <w:left w:val="nil"/>
              <w:bottom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lang w:val="en-US" w:eastAsia="zh-CN"/>
              </w:rPr>
              <w:t>4</w:t>
            </w:r>
            <w:r>
              <w:rPr>
                <w:rFonts w:hint="eastAsia" w:ascii="仿宋" w:hAnsi="仿宋" w:eastAsia="仿宋" w:cs="仿宋"/>
                <w:bCs/>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jc w:val="center"/>
        </w:trPr>
        <w:tc>
          <w:tcPr>
            <w:tcW w:w="2553" w:type="dxa"/>
            <w:vMerge w:val="continue"/>
            <w:tcBorders>
              <w:left w:val="single" w:color="000000" w:sz="4" w:space="0"/>
              <w:right w:val="single" w:color="000000" w:sz="4" w:space="0"/>
            </w:tcBorders>
            <w:vAlign w:val="center"/>
          </w:tcPr>
          <w:p>
            <w:pPr>
              <w:widowControl w:val="0"/>
              <w:adjustRightInd w:val="0"/>
              <w:snapToGrid w:val="0"/>
              <w:spacing w:line="240" w:lineRule="auto"/>
              <w:jc w:val="center"/>
              <w:rPr>
                <w:rFonts w:ascii="仿宋" w:hAnsi="仿宋" w:eastAsia="仿宋" w:cs="仿宋"/>
                <w:kern w:val="2"/>
              </w:rPr>
            </w:pPr>
          </w:p>
        </w:tc>
        <w:tc>
          <w:tcPr>
            <w:tcW w:w="946" w:type="dxa"/>
            <w:vMerge w:val="continue"/>
            <w:tcBorders>
              <w:left w:val="single" w:color="000000" w:sz="4" w:space="0"/>
              <w:right w:val="single" w:color="000000" w:sz="4" w:space="0"/>
            </w:tcBorders>
            <w:vAlign w:val="center"/>
          </w:tcPr>
          <w:p>
            <w:pPr>
              <w:spacing w:line="240" w:lineRule="auto"/>
              <w:jc w:val="center"/>
              <w:rPr>
                <w:rFonts w:ascii="仿宋" w:hAnsi="仿宋" w:eastAsia="仿宋" w:cs="仿宋"/>
                <w:bCs/>
              </w:rPr>
            </w:pPr>
          </w:p>
        </w:tc>
        <w:tc>
          <w:tcPr>
            <w:tcW w:w="3945" w:type="dxa"/>
            <w:tcBorders>
              <w:top w:val="single" w:color="000000" w:sz="4" w:space="0"/>
              <w:left w:val="nil"/>
              <w:bottom w:val="single" w:color="000000" w:sz="4" w:space="0"/>
              <w:right w:val="single" w:color="000000" w:sz="4" w:space="0"/>
            </w:tcBorders>
            <w:vAlign w:val="center"/>
          </w:tcPr>
          <w:p>
            <w:pPr>
              <w:spacing w:line="240" w:lineRule="auto"/>
              <w:rPr>
                <w:rFonts w:ascii="仿宋" w:hAnsi="仿宋" w:eastAsia="仿宋" w:cs="仿宋"/>
                <w:bCs/>
              </w:rPr>
            </w:pPr>
            <w:r>
              <w:rPr>
                <w:rFonts w:hint="eastAsia" w:ascii="仿宋" w:hAnsi="仿宋" w:eastAsia="仿宋" w:cs="仿宋"/>
                <w:bCs/>
              </w:rPr>
              <w:t>存储设备维修与数据恢复报告</w:t>
            </w:r>
          </w:p>
        </w:tc>
        <w:tc>
          <w:tcPr>
            <w:tcW w:w="874" w:type="dxa"/>
            <w:tcBorders>
              <w:top w:val="single" w:color="000000" w:sz="4" w:space="0"/>
              <w:left w:val="nil"/>
              <w:bottom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jc w:val="center"/>
        </w:trPr>
        <w:tc>
          <w:tcPr>
            <w:tcW w:w="2553" w:type="dxa"/>
            <w:tcBorders>
              <w:top w:val="single" w:color="auto" w:sz="4" w:space="0"/>
              <w:left w:val="single" w:color="000000" w:sz="4" w:space="0"/>
              <w:bottom w:val="single" w:color="000000" w:sz="4" w:space="0"/>
              <w:right w:val="single" w:color="000000" w:sz="4" w:space="0"/>
            </w:tcBorders>
            <w:vAlign w:val="center"/>
          </w:tcPr>
          <w:p>
            <w:pPr>
              <w:widowControl w:val="0"/>
              <w:adjustRightInd w:val="0"/>
              <w:snapToGrid w:val="0"/>
              <w:spacing w:line="240" w:lineRule="auto"/>
              <w:jc w:val="center"/>
              <w:rPr>
                <w:rFonts w:ascii="仿宋" w:hAnsi="仿宋" w:eastAsia="仿宋" w:cs="仿宋"/>
                <w:kern w:val="2"/>
              </w:rPr>
            </w:pPr>
            <w:r>
              <w:rPr>
                <w:rFonts w:hint="eastAsia" w:ascii="仿宋" w:hAnsi="仿宋" w:eastAsia="仿宋" w:cs="仿宋"/>
                <w:kern w:val="2"/>
              </w:rPr>
              <w:t>比赛竞速</w:t>
            </w:r>
          </w:p>
        </w:tc>
        <w:tc>
          <w:tcPr>
            <w:tcW w:w="946" w:type="dxa"/>
            <w:tcBorders>
              <w:top w:val="single" w:color="auto" w:sz="4" w:space="0"/>
              <w:left w:val="single" w:color="000000" w:sz="4" w:space="0"/>
              <w:bottom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10%</w:t>
            </w:r>
          </w:p>
        </w:tc>
        <w:tc>
          <w:tcPr>
            <w:tcW w:w="3945" w:type="dxa"/>
            <w:tcBorders>
              <w:top w:val="single" w:color="000000" w:sz="4" w:space="0"/>
              <w:left w:val="nil"/>
              <w:bottom w:val="single" w:color="auto"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w:t>
            </w:r>
          </w:p>
        </w:tc>
        <w:tc>
          <w:tcPr>
            <w:tcW w:w="874" w:type="dxa"/>
            <w:tcBorders>
              <w:top w:val="single" w:color="000000" w:sz="4" w:space="0"/>
              <w:left w:val="nil"/>
              <w:bottom w:val="single" w:color="000000" w:sz="4" w:space="0"/>
              <w:right w:val="single" w:color="000000" w:sz="4" w:space="0"/>
            </w:tcBorders>
            <w:vAlign w:val="center"/>
          </w:tcPr>
          <w:p>
            <w:pPr>
              <w:spacing w:line="240" w:lineRule="auto"/>
              <w:jc w:val="center"/>
              <w:rPr>
                <w:rFonts w:ascii="仿宋" w:hAnsi="仿宋" w:eastAsia="仿宋" w:cs="仿宋"/>
                <w:bCs/>
              </w:rPr>
            </w:pPr>
            <w:r>
              <w:rPr>
                <w:rFonts w:hint="eastAsia" w:ascii="仿宋" w:hAnsi="仿宋" w:eastAsia="仿宋" w:cs="仿宋"/>
                <w:bCs/>
              </w:rPr>
              <w:t>10%</w:t>
            </w:r>
          </w:p>
        </w:tc>
      </w:tr>
    </w:tbl>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十一、评分方法</w:t>
      </w:r>
    </w:p>
    <w:p>
      <w:pPr>
        <w:widowControl w:val="0"/>
        <w:spacing w:line="360" w:lineRule="auto"/>
        <w:ind w:firstLine="573"/>
        <w:jc w:val="both"/>
        <w:rPr>
          <w:rFonts w:ascii="仿宋" w:hAnsi="仿宋" w:eastAsia="仿宋" w:cs="仿宋"/>
          <w:bCs/>
        </w:rPr>
      </w:pPr>
      <w:r>
        <w:rPr>
          <w:rFonts w:hint="eastAsia" w:ascii="仿宋" w:hAnsi="仿宋" w:eastAsia="仿宋" w:cs="仿宋"/>
          <w:bCs/>
        </w:rPr>
        <w:t>本赛项评分本着公平、公正、公开的原则。评分标准在注重对参赛选手综合能力考察的同时</w:t>
      </w:r>
      <w:r>
        <w:rPr>
          <w:rFonts w:ascii="仿宋" w:hAnsi="仿宋" w:eastAsia="仿宋" w:cs="仿宋"/>
          <w:bCs/>
        </w:rPr>
        <w:t>,</w:t>
      </w:r>
      <w:r>
        <w:rPr>
          <w:rFonts w:hint="eastAsia" w:ascii="仿宋" w:hAnsi="仿宋" w:eastAsia="仿宋" w:cs="仿宋"/>
          <w:bCs/>
        </w:rPr>
        <w:t>也能客观反映参赛选手的技能水平及职业素养。</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（一）评分方法及裁判分工</w:t>
      </w:r>
    </w:p>
    <w:p>
      <w:pPr>
        <w:widowControl w:val="0"/>
        <w:spacing w:line="360" w:lineRule="auto"/>
        <w:ind w:firstLine="573"/>
        <w:jc w:val="both"/>
        <w:rPr>
          <w:rFonts w:ascii="仿宋" w:hAnsi="仿宋" w:eastAsia="仿宋" w:cs="仿宋"/>
          <w:bCs/>
        </w:rPr>
      </w:pPr>
      <w:r>
        <w:rPr>
          <w:rFonts w:hint="eastAsia" w:ascii="仿宋" w:hAnsi="仿宋" w:eastAsia="仿宋" w:cs="仿宋"/>
          <w:bCs/>
        </w:rPr>
        <w:t>本赛项评分包括机评分、客观结果性评分及主观结果性评分三种</w:t>
      </w:r>
    </w:p>
    <w:p>
      <w:pPr>
        <w:widowControl w:val="0"/>
        <w:spacing w:line="360" w:lineRule="auto"/>
        <w:ind w:firstLine="573"/>
        <w:jc w:val="both"/>
        <w:rPr>
          <w:rFonts w:ascii="仿宋" w:hAnsi="仿宋" w:eastAsia="仿宋" w:cs="仿宋"/>
          <w:bCs/>
        </w:rPr>
      </w:pPr>
      <w:r>
        <w:rPr>
          <w:rFonts w:hint="eastAsia" w:ascii="仿宋" w:hAnsi="仿宋" w:eastAsia="仿宋" w:cs="仿宋"/>
          <w:bCs/>
        </w:rPr>
        <w:t>1.机评分：由裁判长直接从平台服务器中调取。</w:t>
      </w:r>
    </w:p>
    <w:p>
      <w:pPr>
        <w:widowControl w:val="0"/>
        <w:spacing w:line="360" w:lineRule="auto"/>
        <w:ind w:firstLine="573"/>
        <w:jc w:val="both"/>
        <w:rPr>
          <w:rFonts w:ascii="仿宋" w:hAnsi="仿宋" w:eastAsia="仿宋" w:cs="仿宋"/>
          <w:bCs/>
        </w:rPr>
      </w:pPr>
      <w:r>
        <w:rPr>
          <w:rFonts w:hint="eastAsia" w:ascii="仿宋" w:hAnsi="仿宋" w:eastAsia="仿宋" w:cs="仿宋"/>
          <w:bCs/>
        </w:rPr>
        <w:t>对于竞赛任务二的维修结果，现场采用专用的检测平台及软件进行自动评分并记录成绩，选手在完成主板及功能板维修后，只需通过检测平台提交结果即可。</w:t>
      </w:r>
    </w:p>
    <w:p>
      <w:pPr>
        <w:widowControl w:val="0"/>
        <w:spacing w:line="360" w:lineRule="auto"/>
        <w:ind w:firstLine="573"/>
        <w:jc w:val="both"/>
        <w:rPr>
          <w:rFonts w:ascii="仿宋" w:hAnsi="仿宋" w:eastAsia="仿宋" w:cs="仿宋"/>
          <w:bCs/>
        </w:rPr>
      </w:pPr>
      <w:r>
        <w:rPr>
          <w:rFonts w:hint="eastAsia" w:ascii="仿宋" w:hAnsi="仿宋" w:eastAsia="仿宋" w:cs="仿宋"/>
          <w:bCs/>
        </w:rPr>
        <w:t>对于任务四竞速评分，由裁判长或指定的裁判从平台服务器中直接调取选手结束比赛的时间数据。依照选手结束比赛的时间先后，使用指定的计算公式，确定选手的竞速得分。</w:t>
      </w:r>
    </w:p>
    <w:p>
      <w:pPr>
        <w:widowControl w:val="0"/>
        <w:spacing w:line="360" w:lineRule="auto"/>
        <w:ind w:firstLine="573"/>
        <w:jc w:val="both"/>
        <w:rPr>
          <w:rFonts w:ascii="仿宋" w:hAnsi="仿宋" w:eastAsia="仿宋" w:cs="仿宋"/>
          <w:bCs/>
        </w:rPr>
      </w:pPr>
      <w:r>
        <w:rPr>
          <w:rFonts w:hint="eastAsia" w:ascii="仿宋" w:hAnsi="仿宋" w:eastAsia="仿宋" w:cs="仿宋"/>
          <w:bCs/>
        </w:rPr>
        <w:t>2.客观结果性评分：由客观裁判负责。</w:t>
      </w:r>
    </w:p>
    <w:p>
      <w:pPr>
        <w:widowControl w:val="0"/>
        <w:spacing w:line="360" w:lineRule="auto"/>
        <w:ind w:firstLine="573"/>
        <w:jc w:val="both"/>
        <w:rPr>
          <w:rFonts w:ascii="仿宋" w:hAnsi="仿宋" w:eastAsia="仿宋" w:cs="仿宋"/>
          <w:bCs/>
        </w:rPr>
      </w:pPr>
      <w:r>
        <w:rPr>
          <w:rFonts w:hint="eastAsia" w:ascii="仿宋" w:hAnsi="仿宋" w:eastAsia="仿宋" w:cs="仿宋"/>
          <w:bCs/>
        </w:rPr>
        <w:t>负责任务一和任务三的评分。评分方法：将选手填写的任务结果与标准答案进行对照，即可确定选手得分。</w:t>
      </w:r>
    </w:p>
    <w:p>
      <w:pPr>
        <w:widowControl w:val="0"/>
        <w:spacing w:line="360" w:lineRule="auto"/>
        <w:ind w:firstLine="573"/>
        <w:jc w:val="both"/>
        <w:rPr>
          <w:rFonts w:ascii="仿宋" w:hAnsi="仿宋" w:eastAsia="仿宋" w:cs="仿宋"/>
          <w:bCs/>
        </w:rPr>
      </w:pPr>
      <w:r>
        <w:rPr>
          <w:rFonts w:hint="eastAsia" w:ascii="仿宋" w:hAnsi="仿宋" w:eastAsia="仿宋" w:cs="仿宋"/>
          <w:bCs/>
        </w:rPr>
        <w:t>3.主观结果性评分：由主观裁判负责。</w:t>
      </w:r>
    </w:p>
    <w:p>
      <w:pPr>
        <w:widowControl w:val="0"/>
        <w:spacing w:line="360" w:lineRule="auto"/>
        <w:ind w:firstLine="573"/>
        <w:jc w:val="both"/>
        <w:rPr>
          <w:rFonts w:ascii="仿宋" w:hAnsi="仿宋" w:eastAsia="仿宋" w:cs="仿宋"/>
          <w:bCs/>
        </w:rPr>
      </w:pPr>
      <w:r>
        <w:rPr>
          <w:rFonts w:hint="eastAsia" w:ascii="仿宋" w:hAnsi="仿宋" w:eastAsia="仿宋" w:cs="仿宋"/>
          <w:bCs/>
        </w:rPr>
        <w:t>负责对选手填写的维修报告进行评分。评分方法：由5名评分裁判依照给定的参考答案，对选手填写的内容分别进行打分，取其中3名裁判的平均分（去掉最高分和最低分）作为选手本项得分。</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（二）奖项设定</w:t>
      </w:r>
    </w:p>
    <w:p>
      <w:pPr>
        <w:widowControl w:val="0"/>
        <w:spacing w:line="360" w:lineRule="auto"/>
        <w:ind w:firstLine="573"/>
        <w:jc w:val="both"/>
        <w:rPr>
          <w:rFonts w:ascii="仿宋" w:hAnsi="仿宋" w:eastAsia="仿宋" w:cs="仿宋"/>
          <w:bCs/>
        </w:rPr>
      </w:pPr>
      <w:r>
        <w:rPr>
          <w:rFonts w:hint="eastAsia" w:ascii="仿宋" w:hAnsi="仿宋" w:eastAsia="仿宋" w:cs="仿宋"/>
          <w:bCs/>
        </w:rPr>
        <w:t xml:space="preserve">本赛项依照实际参赛选手数量确定奖项：一等奖占参赛选手总数的10%，二等奖占参赛选手总数的20%，三等奖占参赛选手总数的30%。 </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十二、申诉与仲裁</w:t>
      </w:r>
    </w:p>
    <w:p>
      <w:pPr>
        <w:widowControl w:val="0"/>
        <w:spacing w:line="360" w:lineRule="auto"/>
        <w:ind w:firstLine="573"/>
        <w:jc w:val="both"/>
        <w:rPr>
          <w:rFonts w:ascii="仿宋" w:hAnsi="仿宋" w:eastAsia="仿宋" w:cs="仿宋"/>
          <w:bCs/>
        </w:rPr>
      </w:pPr>
      <w:r>
        <w:rPr>
          <w:rFonts w:hint="eastAsia" w:ascii="仿宋" w:hAnsi="仿宋" w:eastAsia="仿宋" w:cs="仿宋"/>
          <w:bCs/>
        </w:rPr>
        <w:t>本赛项在比赛过程中若出现有失公正或有关人员违规等现象，代表队领队可在比赛结束后2小时之内向仲裁工作组提出申诉。仲裁工作组在接到申诉后的2小时内组织复议，并及时反馈复议结果，仲裁工作组的仲裁结果为最终结果。</w:t>
      </w:r>
    </w:p>
    <w:p>
      <w:pPr>
        <w:pStyle w:val="4"/>
        <w:ind w:firstLine="521"/>
        <w:jc w:val="both"/>
        <w:rPr>
          <w:rFonts w:ascii="黑体" w:hAnsi="黑体" w:eastAsia="黑体" w:cs="仿宋"/>
          <w:b w:val="0"/>
          <w:sz w:val="24"/>
          <w:szCs w:val="24"/>
        </w:rPr>
      </w:pPr>
      <w:r>
        <w:rPr>
          <w:rFonts w:hint="eastAsia" w:ascii="黑体" w:hAnsi="黑体" w:eastAsia="黑体" w:cs="仿宋"/>
          <w:b w:val="0"/>
          <w:sz w:val="24"/>
          <w:szCs w:val="24"/>
        </w:rPr>
        <w:t>十</w:t>
      </w:r>
      <w:r>
        <w:rPr>
          <w:rFonts w:hint="eastAsia" w:ascii="黑体" w:hAnsi="黑体" w:eastAsia="黑体" w:cs="仿宋"/>
          <w:b w:val="0"/>
          <w:sz w:val="24"/>
          <w:szCs w:val="24"/>
          <w:lang w:eastAsia="zh-CN"/>
        </w:rPr>
        <w:t>三</w:t>
      </w:r>
      <w:r>
        <w:rPr>
          <w:rFonts w:hint="eastAsia" w:ascii="黑体" w:hAnsi="黑体" w:eastAsia="黑体" w:cs="仿宋"/>
          <w:b w:val="0"/>
          <w:sz w:val="24"/>
          <w:szCs w:val="24"/>
        </w:rPr>
        <w:t>、竞赛须知</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（一）参赛队须知</w:t>
      </w:r>
    </w:p>
    <w:p>
      <w:pPr>
        <w:widowControl w:val="0"/>
        <w:spacing w:line="360" w:lineRule="auto"/>
        <w:ind w:firstLine="573"/>
        <w:jc w:val="both"/>
        <w:rPr>
          <w:rFonts w:ascii="仿宋" w:hAnsi="仿宋" w:eastAsia="仿宋" w:cs="仿宋"/>
          <w:bCs/>
        </w:rPr>
      </w:pPr>
      <w:r>
        <w:rPr>
          <w:rFonts w:hint="eastAsia" w:ascii="仿宋" w:hAnsi="仿宋" w:eastAsia="仿宋" w:cs="仿宋"/>
          <w:bCs/>
        </w:rPr>
        <w:t>1.参赛队名称：统一使用规定的代表队名称，不使用学校或其他组织、团体的名称。</w:t>
      </w:r>
    </w:p>
    <w:p>
      <w:pPr>
        <w:widowControl w:val="0"/>
        <w:spacing w:line="360" w:lineRule="auto"/>
        <w:ind w:firstLine="573"/>
        <w:jc w:val="both"/>
        <w:rPr>
          <w:rFonts w:ascii="仿宋" w:hAnsi="仿宋" w:eastAsia="仿宋" w:cs="仿宋"/>
          <w:bCs/>
        </w:rPr>
      </w:pPr>
      <w:r>
        <w:rPr>
          <w:rFonts w:hint="eastAsia" w:ascii="仿宋" w:hAnsi="仿宋" w:eastAsia="仿宋" w:cs="仿宋"/>
          <w:bCs/>
        </w:rPr>
        <w:t>2.参赛选手和指导教师报名获得确认后不得随意更换。如参赛选手和指导教师因故无法参赛，须由教育行政部门于相应赛项开赛10个工作日之前出具书面说明，经大赛执委会办公室核实后予以更换。</w:t>
      </w:r>
    </w:p>
    <w:p>
      <w:pPr>
        <w:widowControl w:val="0"/>
        <w:spacing w:line="360" w:lineRule="auto"/>
        <w:ind w:firstLine="573"/>
        <w:jc w:val="both"/>
        <w:rPr>
          <w:rFonts w:ascii="仿宋" w:hAnsi="仿宋" w:eastAsia="仿宋" w:cs="仿宋"/>
          <w:bCs/>
        </w:rPr>
      </w:pPr>
      <w:r>
        <w:rPr>
          <w:rFonts w:hint="eastAsia" w:ascii="仿宋" w:hAnsi="仿宋" w:eastAsia="仿宋" w:cs="仿宋"/>
          <w:bCs/>
        </w:rPr>
        <w:t>3.符合下列情形之一的参赛选手，经裁判组裁定后中止其竞赛:</w:t>
      </w:r>
    </w:p>
    <w:p>
      <w:pPr>
        <w:widowControl w:val="0"/>
        <w:spacing w:line="360" w:lineRule="auto"/>
        <w:ind w:firstLine="573"/>
        <w:jc w:val="both"/>
        <w:rPr>
          <w:rFonts w:ascii="仿宋" w:hAnsi="仿宋" w:eastAsia="仿宋" w:cs="仿宋"/>
          <w:bCs/>
        </w:rPr>
      </w:pPr>
      <w:r>
        <w:rPr>
          <w:rFonts w:hint="eastAsia" w:ascii="仿宋" w:hAnsi="仿宋" w:eastAsia="仿宋" w:cs="仿宋"/>
          <w:bCs/>
        </w:rPr>
        <w:t>（1）不服从裁判员/监考员管理、扰乱赛场秩序、干扰其他参赛选手比赛，裁判员应提出警告，二次警告后无效，或情节特别严重，造成竞赛中止的，经裁判长确认，中止比赛，并取消比赛资格和竞赛成绩。</w:t>
      </w:r>
    </w:p>
    <w:p>
      <w:pPr>
        <w:widowControl w:val="0"/>
        <w:spacing w:line="360" w:lineRule="auto"/>
        <w:ind w:firstLine="573"/>
        <w:jc w:val="both"/>
        <w:rPr>
          <w:rFonts w:ascii="仿宋" w:hAnsi="仿宋" w:eastAsia="仿宋" w:cs="仿宋"/>
          <w:bCs/>
        </w:rPr>
      </w:pPr>
      <w:r>
        <w:rPr>
          <w:rFonts w:hint="eastAsia" w:ascii="仿宋" w:hAnsi="仿宋" w:eastAsia="仿宋" w:cs="仿宋"/>
          <w:bCs/>
        </w:rPr>
        <w:t>（2）竞赛过程中，由于选手技能不熟练或疏忽大意造成计算机、仪器设备及工具等严重损坏，由裁判组裁定其竞赛结束，保留竞赛资格，累计其有效竞赛成绩。</w:t>
      </w:r>
    </w:p>
    <w:p>
      <w:pPr>
        <w:widowControl w:val="0"/>
        <w:spacing w:line="360" w:lineRule="auto"/>
        <w:ind w:firstLine="573"/>
        <w:jc w:val="both"/>
        <w:rPr>
          <w:rFonts w:ascii="仿宋" w:hAnsi="仿宋" w:eastAsia="仿宋" w:cs="仿宋"/>
          <w:bCs/>
        </w:rPr>
      </w:pPr>
      <w:r>
        <w:rPr>
          <w:rFonts w:hint="eastAsia" w:ascii="仿宋" w:hAnsi="仿宋" w:eastAsia="仿宋" w:cs="仿宋"/>
          <w:bCs/>
        </w:rPr>
        <w:t>（3）竞赛过程中，产生重大安全事故、或有产生重大安全事故隐患，经裁判员提示没有采取措施的，裁判员可暂停其竞赛，由裁判组裁定其竞赛结束，保留竞赛资格和有效竞赛成绩。</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（二）指导教师须知</w:t>
      </w:r>
    </w:p>
    <w:p>
      <w:pPr>
        <w:widowControl w:val="0"/>
        <w:spacing w:line="360" w:lineRule="auto"/>
        <w:ind w:firstLine="573"/>
        <w:jc w:val="both"/>
        <w:rPr>
          <w:rFonts w:ascii="仿宋" w:hAnsi="仿宋" w:eastAsia="仿宋" w:cs="仿宋"/>
          <w:bCs/>
        </w:rPr>
      </w:pPr>
      <w:r>
        <w:rPr>
          <w:rFonts w:hint="eastAsia" w:ascii="仿宋" w:hAnsi="仿宋" w:eastAsia="仿宋" w:cs="仿宋"/>
          <w:bCs/>
        </w:rPr>
        <w:t>1.严格遵守赛场的规章制度，服从裁判，文明竞赛。</w:t>
      </w:r>
    </w:p>
    <w:p>
      <w:pPr>
        <w:widowControl w:val="0"/>
        <w:spacing w:line="360" w:lineRule="auto"/>
        <w:ind w:firstLine="573"/>
        <w:jc w:val="both"/>
        <w:rPr>
          <w:rFonts w:ascii="仿宋" w:hAnsi="仿宋" w:eastAsia="仿宋" w:cs="仿宋"/>
          <w:bCs/>
        </w:rPr>
      </w:pPr>
      <w:r>
        <w:rPr>
          <w:rFonts w:hint="eastAsia" w:ascii="仿宋" w:hAnsi="仿宋" w:eastAsia="仿宋" w:cs="仿宋"/>
          <w:bCs/>
        </w:rPr>
        <w:t>2.正式报名的指导教师，确定后不允许更换。</w:t>
      </w:r>
    </w:p>
    <w:p>
      <w:pPr>
        <w:widowControl w:val="0"/>
        <w:spacing w:line="360" w:lineRule="auto"/>
        <w:ind w:firstLine="573"/>
        <w:jc w:val="both"/>
        <w:rPr>
          <w:rFonts w:ascii="仿宋" w:hAnsi="仿宋" w:eastAsia="仿宋" w:cs="仿宋"/>
          <w:bCs/>
        </w:rPr>
      </w:pPr>
      <w:r>
        <w:rPr>
          <w:rFonts w:hint="eastAsia" w:ascii="仿宋" w:hAnsi="仿宋" w:eastAsia="仿宋" w:cs="仿宋"/>
          <w:bCs/>
        </w:rPr>
        <w:t>3.指导教师不得进入赛场内进行指导。</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（三）参赛选手须知</w:t>
      </w:r>
    </w:p>
    <w:p>
      <w:pPr>
        <w:widowControl w:val="0"/>
        <w:spacing w:line="360" w:lineRule="auto"/>
        <w:ind w:firstLine="573"/>
        <w:jc w:val="both"/>
        <w:rPr>
          <w:rFonts w:ascii="仿宋" w:hAnsi="仿宋" w:eastAsia="仿宋" w:cs="仿宋"/>
          <w:bCs/>
        </w:rPr>
      </w:pPr>
      <w:r>
        <w:rPr>
          <w:rFonts w:hint="eastAsia" w:ascii="仿宋" w:hAnsi="仿宋" w:eastAsia="仿宋" w:cs="仿宋"/>
          <w:bCs/>
        </w:rPr>
        <w:t>1.参赛选手严格遵守赛场规章、操作规程和工艺准则，保证人身及设备安全，接受裁判员的监督和警示，文明竞赛。</w:t>
      </w:r>
    </w:p>
    <w:p>
      <w:pPr>
        <w:widowControl w:val="0"/>
        <w:spacing w:line="360" w:lineRule="auto"/>
        <w:ind w:firstLine="573"/>
        <w:jc w:val="both"/>
        <w:rPr>
          <w:rFonts w:ascii="仿宋" w:hAnsi="仿宋" w:eastAsia="仿宋" w:cs="仿宋"/>
          <w:bCs/>
        </w:rPr>
      </w:pPr>
      <w:r>
        <w:rPr>
          <w:rFonts w:hint="eastAsia" w:ascii="仿宋" w:hAnsi="仿宋" w:eastAsia="仿宋" w:cs="仿宋"/>
          <w:bCs/>
        </w:rPr>
        <w:t>2.选手凭证进入赛场，在场内操作期间应当始终佩带参赛凭证以备检查。</w:t>
      </w:r>
    </w:p>
    <w:p>
      <w:pPr>
        <w:widowControl w:val="0"/>
        <w:spacing w:line="360" w:lineRule="auto"/>
        <w:ind w:firstLine="573"/>
        <w:jc w:val="both"/>
        <w:rPr>
          <w:rFonts w:ascii="仿宋" w:hAnsi="仿宋" w:eastAsia="仿宋" w:cs="仿宋"/>
          <w:bCs/>
        </w:rPr>
      </w:pPr>
      <w:r>
        <w:rPr>
          <w:rFonts w:hint="eastAsia" w:ascii="仿宋" w:hAnsi="仿宋" w:eastAsia="仿宋" w:cs="仿宋"/>
          <w:bCs/>
        </w:rPr>
        <w:t>3.参赛选手进入赛场，不允许自行携带任何书籍和其他纸质资料（相关技术资料的电子文档由组委会提供），不许携带通讯工具和存储设备（如U盘），不许携带任何检测设备和工具。</w:t>
      </w:r>
    </w:p>
    <w:p>
      <w:pPr>
        <w:widowControl w:val="0"/>
        <w:spacing w:line="360" w:lineRule="auto"/>
        <w:ind w:firstLine="573"/>
        <w:jc w:val="both"/>
        <w:rPr>
          <w:rFonts w:ascii="仿宋" w:hAnsi="仿宋" w:eastAsia="仿宋" w:cs="仿宋"/>
          <w:bCs/>
        </w:rPr>
      </w:pPr>
      <w:r>
        <w:rPr>
          <w:rFonts w:hint="eastAsia" w:ascii="仿宋" w:hAnsi="仿宋" w:eastAsia="仿宋" w:cs="仿宋"/>
          <w:bCs/>
        </w:rPr>
        <w:t>4.各参赛选手应在规定的时间段进入赛场熟悉环境，入场后，赛场工作人员与参赛选手共同确认操作条件及设备状况。</w:t>
      </w:r>
    </w:p>
    <w:p>
      <w:pPr>
        <w:widowControl w:val="0"/>
        <w:spacing w:line="360" w:lineRule="auto"/>
        <w:ind w:firstLine="573"/>
        <w:jc w:val="both"/>
        <w:rPr>
          <w:rFonts w:ascii="仿宋" w:hAnsi="仿宋" w:eastAsia="仿宋" w:cs="仿宋"/>
          <w:bCs/>
        </w:rPr>
      </w:pPr>
      <w:r>
        <w:rPr>
          <w:rFonts w:hint="eastAsia" w:ascii="仿宋" w:hAnsi="仿宋" w:eastAsia="仿宋" w:cs="仿宋"/>
          <w:bCs/>
        </w:rPr>
        <w:t>5.竞赛时，在收到开赛信号前不得启动操作，参赛选手按竞赛要求自行决定工作程序和时间安排，在指定赛位上完成竞赛项目，严禁作弊行为。</w:t>
      </w:r>
    </w:p>
    <w:p>
      <w:pPr>
        <w:widowControl w:val="0"/>
        <w:spacing w:line="360" w:lineRule="auto"/>
        <w:ind w:firstLine="573"/>
        <w:jc w:val="both"/>
        <w:rPr>
          <w:rFonts w:ascii="仿宋" w:hAnsi="仿宋" w:eastAsia="仿宋" w:cs="仿宋"/>
          <w:bCs/>
        </w:rPr>
      </w:pPr>
      <w:r>
        <w:rPr>
          <w:rFonts w:hint="eastAsia" w:ascii="仿宋" w:hAnsi="仿宋" w:eastAsia="仿宋" w:cs="仿宋"/>
          <w:bCs/>
        </w:rPr>
        <w:t>6.竞赛过程中，因严重操作失误或安全事故不能进行比赛的（例如因操作原因发生短路导致赛场断电的、造成设备不能正常工作的），现场裁判员有权中止该队比赛。</w:t>
      </w:r>
    </w:p>
    <w:p>
      <w:pPr>
        <w:widowControl w:val="0"/>
        <w:spacing w:line="360" w:lineRule="auto"/>
        <w:ind w:firstLine="573"/>
        <w:jc w:val="both"/>
        <w:rPr>
          <w:rFonts w:ascii="仿宋" w:hAnsi="仿宋" w:eastAsia="仿宋" w:cs="仿宋"/>
          <w:bCs/>
        </w:rPr>
      </w:pPr>
      <w:r>
        <w:rPr>
          <w:rFonts w:hint="eastAsia" w:ascii="仿宋" w:hAnsi="仿宋" w:eastAsia="仿宋" w:cs="仿宋"/>
          <w:bCs/>
        </w:rPr>
        <w:t>7.比赛期间，选手连续工作，饮水由赛场统一提供。选手休息、饮水和如厕时间均计算在比赛时间内。</w:t>
      </w:r>
    </w:p>
    <w:p>
      <w:pPr>
        <w:widowControl w:val="0"/>
        <w:spacing w:line="360" w:lineRule="auto"/>
        <w:ind w:firstLine="573"/>
        <w:jc w:val="both"/>
        <w:rPr>
          <w:rFonts w:ascii="仿宋" w:hAnsi="仿宋" w:eastAsia="仿宋" w:cs="仿宋"/>
          <w:bCs/>
        </w:rPr>
      </w:pPr>
      <w:r>
        <w:rPr>
          <w:rFonts w:hint="eastAsia" w:ascii="仿宋" w:hAnsi="仿宋" w:eastAsia="仿宋" w:cs="仿宋"/>
          <w:bCs/>
        </w:rPr>
        <w:t>8.凡在竞赛期间内提前离开的选手，不得返回赛场。参赛选手进出赛场不得携带除身份证件外任何与比赛有关的物品。</w:t>
      </w:r>
    </w:p>
    <w:p>
      <w:pPr>
        <w:widowControl w:val="0"/>
        <w:spacing w:line="360" w:lineRule="auto"/>
        <w:ind w:firstLine="573"/>
        <w:jc w:val="both"/>
        <w:rPr>
          <w:rFonts w:ascii="仿宋" w:hAnsi="仿宋" w:eastAsia="仿宋" w:cs="仿宋"/>
          <w:bCs/>
        </w:rPr>
      </w:pPr>
      <w:r>
        <w:rPr>
          <w:rFonts w:hint="eastAsia" w:ascii="仿宋" w:hAnsi="仿宋" w:eastAsia="仿宋" w:cs="仿宋"/>
          <w:bCs/>
        </w:rPr>
        <w:t xml:space="preserve">9.在参赛期间，选手应注意保持工作环境及设备摆放符合生产操作规程。 </w:t>
      </w:r>
    </w:p>
    <w:p>
      <w:pPr>
        <w:widowControl w:val="0"/>
        <w:spacing w:line="360" w:lineRule="auto"/>
        <w:ind w:firstLine="573"/>
        <w:jc w:val="both"/>
        <w:rPr>
          <w:rFonts w:ascii="仿宋" w:hAnsi="仿宋" w:eastAsia="仿宋" w:cs="仿宋"/>
          <w:bCs/>
        </w:rPr>
      </w:pPr>
      <w:r>
        <w:rPr>
          <w:rFonts w:hint="eastAsia" w:ascii="仿宋" w:hAnsi="仿宋" w:eastAsia="仿宋" w:cs="仿宋"/>
          <w:bCs/>
        </w:rPr>
        <w:t>10.在比赛中如遇非人为因素造成的设备故障，经裁判确认后，可向裁判长申请补足排除故障的时间。</w:t>
      </w:r>
    </w:p>
    <w:p>
      <w:pPr>
        <w:widowControl w:val="0"/>
        <w:spacing w:line="360" w:lineRule="auto"/>
        <w:ind w:firstLine="573"/>
        <w:jc w:val="both"/>
        <w:rPr>
          <w:rFonts w:ascii="仿宋" w:hAnsi="仿宋" w:eastAsia="仿宋" w:cs="仿宋"/>
          <w:bCs/>
        </w:rPr>
      </w:pPr>
      <w:r>
        <w:rPr>
          <w:rFonts w:hint="eastAsia" w:ascii="仿宋" w:hAnsi="仿宋" w:eastAsia="仿宋" w:cs="仿宋"/>
          <w:bCs/>
        </w:rPr>
        <w:t>11.参赛选手欲提前结束比赛，应向现场裁判员举手示意，并通过竞赛平台的“结束比赛”按钮结束比赛，比赛终止后，不得再进行任何与比赛有关的操作。</w:t>
      </w:r>
    </w:p>
    <w:p>
      <w:pPr>
        <w:widowControl w:val="0"/>
        <w:spacing w:line="360" w:lineRule="auto"/>
        <w:ind w:firstLine="573"/>
        <w:jc w:val="both"/>
        <w:rPr>
          <w:rFonts w:ascii="仿宋" w:hAnsi="仿宋" w:eastAsia="仿宋" w:cs="仿宋"/>
          <w:bCs/>
        </w:rPr>
      </w:pPr>
      <w:r>
        <w:rPr>
          <w:rFonts w:hint="eastAsia" w:ascii="仿宋" w:hAnsi="仿宋" w:eastAsia="仿宋" w:cs="仿宋"/>
          <w:bCs/>
        </w:rPr>
        <w:t>12.因保密要求，参赛选手提交的任何文件中不得出现单位名称、参赛者姓名。</w:t>
      </w:r>
    </w:p>
    <w:p>
      <w:pPr>
        <w:widowControl w:val="0"/>
        <w:spacing w:line="360" w:lineRule="auto"/>
        <w:ind w:firstLine="573"/>
        <w:jc w:val="both"/>
        <w:rPr>
          <w:rFonts w:ascii="仿宋" w:hAnsi="仿宋" w:eastAsia="仿宋" w:cs="仿宋"/>
          <w:bCs/>
        </w:rPr>
      </w:pPr>
      <w:r>
        <w:rPr>
          <w:rFonts w:hint="eastAsia" w:ascii="仿宋" w:hAnsi="仿宋" w:eastAsia="仿宋" w:cs="仿宋"/>
          <w:bCs/>
        </w:rPr>
        <w:t>13.各参赛选手需按照大赛要求和赛题要求提交竞赛成果，禁止在竞赛成果上做任何与竞赛无关的记号。</w:t>
      </w:r>
    </w:p>
    <w:p>
      <w:pPr>
        <w:widowControl w:val="0"/>
        <w:spacing w:line="360" w:lineRule="auto"/>
        <w:ind w:firstLine="573"/>
        <w:jc w:val="both"/>
        <w:rPr>
          <w:rFonts w:ascii="仿宋" w:hAnsi="仿宋" w:eastAsia="仿宋" w:cs="仿宋"/>
          <w:bCs/>
        </w:rPr>
      </w:pPr>
      <w:r>
        <w:rPr>
          <w:rFonts w:hint="eastAsia" w:ascii="仿宋" w:hAnsi="仿宋" w:eastAsia="仿宋" w:cs="仿宋"/>
          <w:bCs/>
        </w:rPr>
        <w:t>14.竞赛操作结束后，参赛选手要确认成功提交竞赛要求的文件，并填写结束比赛相关确认文件，与现场裁判一起签字确认后方可离开赛位。</w:t>
      </w:r>
    </w:p>
    <w:p>
      <w:pPr>
        <w:pStyle w:val="5"/>
        <w:ind w:firstLine="484"/>
        <w:jc w:val="both"/>
        <w:rPr>
          <w:rFonts w:ascii="仿宋" w:hAnsi="仿宋" w:eastAsia="仿宋" w:cs="仿宋"/>
          <w:b/>
          <w:sz w:val="24"/>
          <w:szCs w:val="24"/>
        </w:rPr>
      </w:pPr>
      <w:r>
        <w:rPr>
          <w:rFonts w:hint="eastAsia" w:ascii="仿宋" w:hAnsi="仿宋" w:eastAsia="仿宋" w:cs="仿宋"/>
          <w:b/>
          <w:sz w:val="24"/>
          <w:szCs w:val="24"/>
        </w:rPr>
        <w:t>（四）工作人员须知</w:t>
      </w:r>
    </w:p>
    <w:p>
      <w:pPr>
        <w:widowControl w:val="0"/>
        <w:spacing w:line="360" w:lineRule="auto"/>
        <w:ind w:firstLine="573"/>
        <w:jc w:val="both"/>
        <w:rPr>
          <w:rFonts w:ascii="仿宋" w:hAnsi="仿宋" w:eastAsia="仿宋" w:cs="仿宋"/>
          <w:bCs/>
        </w:rPr>
      </w:pPr>
      <w:r>
        <w:rPr>
          <w:rFonts w:hint="eastAsia" w:ascii="仿宋" w:hAnsi="仿宋" w:eastAsia="仿宋" w:cs="仿宋"/>
          <w:bCs/>
        </w:rPr>
        <w:t>1.赛场工作人员由大赛组委会统一聘用并进行工作分工。</w:t>
      </w:r>
    </w:p>
    <w:p>
      <w:pPr>
        <w:widowControl w:val="0"/>
        <w:spacing w:line="360" w:lineRule="auto"/>
        <w:ind w:firstLine="573"/>
        <w:jc w:val="both"/>
        <w:rPr>
          <w:rFonts w:ascii="仿宋" w:hAnsi="仿宋" w:eastAsia="仿宋" w:cs="仿宋"/>
          <w:bCs/>
        </w:rPr>
      </w:pPr>
      <w:r>
        <w:rPr>
          <w:rFonts w:hint="eastAsia" w:ascii="仿宋" w:hAnsi="仿宋" w:eastAsia="仿宋" w:cs="仿宋"/>
          <w:bCs/>
        </w:rPr>
        <w:t>2.赛场工作人员需服从组委会的管理，严格执行组委会制订的各项比赛规则，执行组委会的工作安排，为赛场提供有序的服务。</w:t>
      </w:r>
    </w:p>
    <w:p>
      <w:pPr>
        <w:widowControl w:val="0"/>
        <w:spacing w:line="360" w:lineRule="auto"/>
        <w:ind w:firstLine="573"/>
        <w:jc w:val="both"/>
        <w:rPr>
          <w:rFonts w:ascii="仿宋" w:hAnsi="仿宋" w:eastAsia="仿宋" w:cs="仿宋"/>
          <w:bCs/>
        </w:rPr>
      </w:pPr>
      <w:r>
        <w:rPr>
          <w:rFonts w:hint="eastAsia" w:ascii="仿宋" w:hAnsi="仿宋" w:eastAsia="仿宋" w:cs="仿宋"/>
          <w:bCs/>
        </w:rPr>
        <w:t>3.赛场工作人员要积极维护好赛场秩序，以利于参赛选手正常发挥水平。</w:t>
      </w:r>
    </w:p>
    <w:p>
      <w:pPr>
        <w:widowControl w:val="0"/>
        <w:spacing w:line="360" w:lineRule="auto"/>
        <w:ind w:firstLine="573"/>
        <w:jc w:val="both"/>
        <w:rPr>
          <w:rFonts w:ascii="仿宋" w:hAnsi="仿宋" w:eastAsia="仿宋" w:cs="仿宋"/>
          <w:bCs/>
        </w:rPr>
      </w:pPr>
      <w:r>
        <w:rPr>
          <w:rFonts w:hint="eastAsia" w:ascii="仿宋" w:hAnsi="仿宋" w:eastAsia="仿宋" w:cs="仿宋"/>
          <w:bCs/>
        </w:rPr>
        <w:t>4.赛场工作人员要坚守岗位，不得擅离职守。</w:t>
      </w:r>
    </w:p>
    <w:p>
      <w:pPr>
        <w:widowControl w:val="0"/>
        <w:spacing w:line="360" w:lineRule="auto"/>
        <w:ind w:firstLine="573"/>
        <w:jc w:val="both"/>
        <w:rPr>
          <w:rFonts w:ascii="仿宋" w:hAnsi="仿宋" w:eastAsia="仿宋" w:cs="仿宋"/>
          <w:bCs/>
        </w:rPr>
      </w:pPr>
      <w:r>
        <w:rPr>
          <w:rFonts w:hint="eastAsia" w:ascii="仿宋" w:hAnsi="仿宋" w:eastAsia="仿宋" w:cs="仿宋"/>
          <w:bCs/>
        </w:rPr>
        <w:t>5.赛场工作人员在比赛中不回答选手提出的任何有关比赛技术问题，如遇争议问题，需上报执委会。</w:t>
      </w:r>
    </w:p>
    <w:p>
      <w:pPr>
        <w:widowControl w:val="0"/>
        <w:spacing w:line="360" w:lineRule="auto"/>
        <w:ind w:firstLine="573"/>
        <w:jc w:val="both"/>
        <w:rPr>
          <w:rFonts w:ascii="仿宋" w:hAnsi="仿宋" w:eastAsia="仿宋" w:cs="仿宋"/>
          <w:bCs/>
        </w:rPr>
      </w:pPr>
      <w:r>
        <w:rPr>
          <w:rFonts w:hint="eastAsia" w:ascii="仿宋" w:hAnsi="仿宋" w:eastAsia="仿宋" w:cs="仿宋"/>
          <w:bCs/>
        </w:rPr>
        <w:t>6.工作人员要着组委会统一提供的服装并佩戴胸卡。</w:t>
      </w:r>
    </w:p>
    <w:sectPr>
      <w:footerReference r:id="rId3" w:type="default"/>
      <w:pgSz w:w="11906" w:h="16838"/>
      <w:pgMar w:top="2041" w:right="1418" w:bottom="1985" w:left="1418"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PROKST+FZFSJW--GB1-0">
    <w:altName w:val="宋体"/>
    <w:panose1 w:val="00000000000000000000"/>
    <w:charset w:val="86"/>
    <w:family w:val="auto"/>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OEEEEV+FZHT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9</w:t>
    </w:r>
    <w:r>
      <w:rPr>
        <w:b/>
        <w:sz w:val="24"/>
        <w:szCs w:val="24"/>
      </w:rPr>
      <w:fldChar w:fldCharType="end"/>
    </w: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6F5A"/>
    <w:multiLevelType w:val="singleLevel"/>
    <w:tmpl w:val="56DE6F5A"/>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5BC0"/>
    <w:rsid w:val="00004EEF"/>
    <w:rsid w:val="00006051"/>
    <w:rsid w:val="00006588"/>
    <w:rsid w:val="000139ED"/>
    <w:rsid w:val="0002170C"/>
    <w:rsid w:val="00024F54"/>
    <w:rsid w:val="00031103"/>
    <w:rsid w:val="000314C0"/>
    <w:rsid w:val="00043459"/>
    <w:rsid w:val="000434C0"/>
    <w:rsid w:val="000464A7"/>
    <w:rsid w:val="00046989"/>
    <w:rsid w:val="0004793A"/>
    <w:rsid w:val="000617C6"/>
    <w:rsid w:val="00080FE3"/>
    <w:rsid w:val="00085EA0"/>
    <w:rsid w:val="00086D74"/>
    <w:rsid w:val="00090C52"/>
    <w:rsid w:val="00096924"/>
    <w:rsid w:val="000B06AF"/>
    <w:rsid w:val="000B2EC2"/>
    <w:rsid w:val="000C17AF"/>
    <w:rsid w:val="000C3447"/>
    <w:rsid w:val="000C35E8"/>
    <w:rsid w:val="000C4E79"/>
    <w:rsid w:val="000C5681"/>
    <w:rsid w:val="000C788A"/>
    <w:rsid w:val="000D047F"/>
    <w:rsid w:val="000F2004"/>
    <w:rsid w:val="000F2BAB"/>
    <w:rsid w:val="00106FCB"/>
    <w:rsid w:val="00107155"/>
    <w:rsid w:val="00107CD7"/>
    <w:rsid w:val="00112F8C"/>
    <w:rsid w:val="0011622E"/>
    <w:rsid w:val="001214D5"/>
    <w:rsid w:val="001375B9"/>
    <w:rsid w:val="00142578"/>
    <w:rsid w:val="0014268F"/>
    <w:rsid w:val="00160E17"/>
    <w:rsid w:val="00162579"/>
    <w:rsid w:val="00163717"/>
    <w:rsid w:val="00164554"/>
    <w:rsid w:val="00164E16"/>
    <w:rsid w:val="00173F7A"/>
    <w:rsid w:val="00183994"/>
    <w:rsid w:val="001879D7"/>
    <w:rsid w:val="00190B6C"/>
    <w:rsid w:val="001919E9"/>
    <w:rsid w:val="001C1CB4"/>
    <w:rsid w:val="001C3746"/>
    <w:rsid w:val="001E6B05"/>
    <w:rsid w:val="001F1AB1"/>
    <w:rsid w:val="001F5566"/>
    <w:rsid w:val="001F7958"/>
    <w:rsid w:val="00205A1F"/>
    <w:rsid w:val="00215BC0"/>
    <w:rsid w:val="00233BF9"/>
    <w:rsid w:val="00237154"/>
    <w:rsid w:val="00253840"/>
    <w:rsid w:val="00256483"/>
    <w:rsid w:val="0026652D"/>
    <w:rsid w:val="0027027A"/>
    <w:rsid w:val="00271CAF"/>
    <w:rsid w:val="002802DF"/>
    <w:rsid w:val="00280ECC"/>
    <w:rsid w:val="002973E5"/>
    <w:rsid w:val="002A3A92"/>
    <w:rsid w:val="002A7C6F"/>
    <w:rsid w:val="002B2987"/>
    <w:rsid w:val="002B2F74"/>
    <w:rsid w:val="002C2F3C"/>
    <w:rsid w:val="002C6E46"/>
    <w:rsid w:val="00304C35"/>
    <w:rsid w:val="0031220B"/>
    <w:rsid w:val="003220AC"/>
    <w:rsid w:val="00327957"/>
    <w:rsid w:val="00332E40"/>
    <w:rsid w:val="00334C86"/>
    <w:rsid w:val="0034418C"/>
    <w:rsid w:val="00352131"/>
    <w:rsid w:val="0035216F"/>
    <w:rsid w:val="00352574"/>
    <w:rsid w:val="00353E4A"/>
    <w:rsid w:val="003615D4"/>
    <w:rsid w:val="0036506F"/>
    <w:rsid w:val="0036544D"/>
    <w:rsid w:val="003825E3"/>
    <w:rsid w:val="00395D57"/>
    <w:rsid w:val="00397F25"/>
    <w:rsid w:val="003B4BFE"/>
    <w:rsid w:val="003B5505"/>
    <w:rsid w:val="003C21B4"/>
    <w:rsid w:val="003C532E"/>
    <w:rsid w:val="003D10AE"/>
    <w:rsid w:val="003D6A72"/>
    <w:rsid w:val="003E041E"/>
    <w:rsid w:val="003E2525"/>
    <w:rsid w:val="003E6B87"/>
    <w:rsid w:val="003E6C1E"/>
    <w:rsid w:val="003F4EC7"/>
    <w:rsid w:val="00404BAE"/>
    <w:rsid w:val="004103F4"/>
    <w:rsid w:val="00410851"/>
    <w:rsid w:val="00435F6A"/>
    <w:rsid w:val="00437E05"/>
    <w:rsid w:val="00444618"/>
    <w:rsid w:val="00465820"/>
    <w:rsid w:val="00475628"/>
    <w:rsid w:val="00477538"/>
    <w:rsid w:val="00477F81"/>
    <w:rsid w:val="004813EC"/>
    <w:rsid w:val="00482BF7"/>
    <w:rsid w:val="00485F99"/>
    <w:rsid w:val="00493334"/>
    <w:rsid w:val="00495EEE"/>
    <w:rsid w:val="004A5693"/>
    <w:rsid w:val="004A7559"/>
    <w:rsid w:val="004B7FCC"/>
    <w:rsid w:val="004D122F"/>
    <w:rsid w:val="004D2C36"/>
    <w:rsid w:val="004D60C0"/>
    <w:rsid w:val="004E6817"/>
    <w:rsid w:val="004E7AF6"/>
    <w:rsid w:val="005150FC"/>
    <w:rsid w:val="0052364B"/>
    <w:rsid w:val="00524E6E"/>
    <w:rsid w:val="0052677D"/>
    <w:rsid w:val="00543F52"/>
    <w:rsid w:val="005446A8"/>
    <w:rsid w:val="00545802"/>
    <w:rsid w:val="00552B82"/>
    <w:rsid w:val="0055628E"/>
    <w:rsid w:val="00571CB7"/>
    <w:rsid w:val="00571ED5"/>
    <w:rsid w:val="00580DE2"/>
    <w:rsid w:val="00595B2E"/>
    <w:rsid w:val="005A255C"/>
    <w:rsid w:val="005D1FA8"/>
    <w:rsid w:val="005E025A"/>
    <w:rsid w:val="005E20DF"/>
    <w:rsid w:val="005E4344"/>
    <w:rsid w:val="005F5326"/>
    <w:rsid w:val="005F571B"/>
    <w:rsid w:val="006056BF"/>
    <w:rsid w:val="00611C78"/>
    <w:rsid w:val="006237BF"/>
    <w:rsid w:val="00642355"/>
    <w:rsid w:val="00653BCE"/>
    <w:rsid w:val="0066091D"/>
    <w:rsid w:val="00670685"/>
    <w:rsid w:val="0067561B"/>
    <w:rsid w:val="00675AE0"/>
    <w:rsid w:val="00690591"/>
    <w:rsid w:val="006A0340"/>
    <w:rsid w:val="006A17FF"/>
    <w:rsid w:val="006A3DF9"/>
    <w:rsid w:val="006A4F9E"/>
    <w:rsid w:val="006B2AC3"/>
    <w:rsid w:val="006B44E3"/>
    <w:rsid w:val="006B7ED9"/>
    <w:rsid w:val="006D5A65"/>
    <w:rsid w:val="006E14D7"/>
    <w:rsid w:val="006E59F8"/>
    <w:rsid w:val="00700B13"/>
    <w:rsid w:val="00706F8B"/>
    <w:rsid w:val="0071325B"/>
    <w:rsid w:val="00715213"/>
    <w:rsid w:val="0071639A"/>
    <w:rsid w:val="00722858"/>
    <w:rsid w:val="00723E1D"/>
    <w:rsid w:val="00733F8B"/>
    <w:rsid w:val="00733FDA"/>
    <w:rsid w:val="00747B67"/>
    <w:rsid w:val="00756CF8"/>
    <w:rsid w:val="00757DF3"/>
    <w:rsid w:val="00762EE6"/>
    <w:rsid w:val="00764E83"/>
    <w:rsid w:val="0076721D"/>
    <w:rsid w:val="00771CBB"/>
    <w:rsid w:val="00774FF3"/>
    <w:rsid w:val="007B5552"/>
    <w:rsid w:val="007C3932"/>
    <w:rsid w:val="007C70EC"/>
    <w:rsid w:val="007C7612"/>
    <w:rsid w:val="007E3F40"/>
    <w:rsid w:val="007E5756"/>
    <w:rsid w:val="007F1A95"/>
    <w:rsid w:val="007F6422"/>
    <w:rsid w:val="007F73A9"/>
    <w:rsid w:val="008001F2"/>
    <w:rsid w:val="008013A3"/>
    <w:rsid w:val="00814467"/>
    <w:rsid w:val="008228B8"/>
    <w:rsid w:val="00823FB5"/>
    <w:rsid w:val="0082538F"/>
    <w:rsid w:val="00825CDB"/>
    <w:rsid w:val="00830221"/>
    <w:rsid w:val="00834A42"/>
    <w:rsid w:val="00843E7D"/>
    <w:rsid w:val="00845C83"/>
    <w:rsid w:val="00854373"/>
    <w:rsid w:val="00860F80"/>
    <w:rsid w:val="00881B3D"/>
    <w:rsid w:val="0089093F"/>
    <w:rsid w:val="00895AEA"/>
    <w:rsid w:val="008A5C01"/>
    <w:rsid w:val="008A5C21"/>
    <w:rsid w:val="008C0779"/>
    <w:rsid w:val="008C133C"/>
    <w:rsid w:val="008C15F1"/>
    <w:rsid w:val="008C2709"/>
    <w:rsid w:val="008C6C8C"/>
    <w:rsid w:val="008E7617"/>
    <w:rsid w:val="00904159"/>
    <w:rsid w:val="00904D5F"/>
    <w:rsid w:val="00912885"/>
    <w:rsid w:val="009224D4"/>
    <w:rsid w:val="00923100"/>
    <w:rsid w:val="00924E07"/>
    <w:rsid w:val="00935E11"/>
    <w:rsid w:val="009367AB"/>
    <w:rsid w:val="00940548"/>
    <w:rsid w:val="00942C25"/>
    <w:rsid w:val="00944DEB"/>
    <w:rsid w:val="009648D8"/>
    <w:rsid w:val="00970AE6"/>
    <w:rsid w:val="009727FC"/>
    <w:rsid w:val="00974E6E"/>
    <w:rsid w:val="0098647F"/>
    <w:rsid w:val="00992707"/>
    <w:rsid w:val="0099656E"/>
    <w:rsid w:val="00997C67"/>
    <w:rsid w:val="009A29F0"/>
    <w:rsid w:val="009A43BF"/>
    <w:rsid w:val="009B721B"/>
    <w:rsid w:val="009E076E"/>
    <w:rsid w:val="009E08BC"/>
    <w:rsid w:val="009E2BFE"/>
    <w:rsid w:val="009E35B2"/>
    <w:rsid w:val="009E7F18"/>
    <w:rsid w:val="00A125C6"/>
    <w:rsid w:val="00A349D3"/>
    <w:rsid w:val="00A51F79"/>
    <w:rsid w:val="00A66E05"/>
    <w:rsid w:val="00A9109A"/>
    <w:rsid w:val="00A92D91"/>
    <w:rsid w:val="00A94280"/>
    <w:rsid w:val="00AB20F8"/>
    <w:rsid w:val="00AB3FA5"/>
    <w:rsid w:val="00AB4CF3"/>
    <w:rsid w:val="00AC007E"/>
    <w:rsid w:val="00AC0C6C"/>
    <w:rsid w:val="00AC17E5"/>
    <w:rsid w:val="00AD1BCA"/>
    <w:rsid w:val="00AD404F"/>
    <w:rsid w:val="00AE0D68"/>
    <w:rsid w:val="00AE5150"/>
    <w:rsid w:val="00AE588E"/>
    <w:rsid w:val="00AE723C"/>
    <w:rsid w:val="00AF1522"/>
    <w:rsid w:val="00AF21CF"/>
    <w:rsid w:val="00B01E2F"/>
    <w:rsid w:val="00B02B92"/>
    <w:rsid w:val="00B10E2B"/>
    <w:rsid w:val="00B1209C"/>
    <w:rsid w:val="00B14DB3"/>
    <w:rsid w:val="00B22B1D"/>
    <w:rsid w:val="00B3077D"/>
    <w:rsid w:val="00B34E3B"/>
    <w:rsid w:val="00B46A3A"/>
    <w:rsid w:val="00B5244D"/>
    <w:rsid w:val="00B669CF"/>
    <w:rsid w:val="00B66D86"/>
    <w:rsid w:val="00B72A91"/>
    <w:rsid w:val="00B72AAA"/>
    <w:rsid w:val="00B82BCF"/>
    <w:rsid w:val="00BA0C54"/>
    <w:rsid w:val="00BA2817"/>
    <w:rsid w:val="00BB6B33"/>
    <w:rsid w:val="00BE0BBD"/>
    <w:rsid w:val="00BE2AFB"/>
    <w:rsid w:val="00BE692A"/>
    <w:rsid w:val="00C05FC1"/>
    <w:rsid w:val="00C26392"/>
    <w:rsid w:val="00C334B4"/>
    <w:rsid w:val="00C524C2"/>
    <w:rsid w:val="00C5270D"/>
    <w:rsid w:val="00C60612"/>
    <w:rsid w:val="00C65E80"/>
    <w:rsid w:val="00C721A9"/>
    <w:rsid w:val="00C73B29"/>
    <w:rsid w:val="00C7730D"/>
    <w:rsid w:val="00C83721"/>
    <w:rsid w:val="00C8594D"/>
    <w:rsid w:val="00CA5879"/>
    <w:rsid w:val="00CA706E"/>
    <w:rsid w:val="00CB23F0"/>
    <w:rsid w:val="00CB6A2A"/>
    <w:rsid w:val="00CD5AAE"/>
    <w:rsid w:val="00CE3892"/>
    <w:rsid w:val="00D058A9"/>
    <w:rsid w:val="00D10C87"/>
    <w:rsid w:val="00D136F2"/>
    <w:rsid w:val="00D13F25"/>
    <w:rsid w:val="00D16DB1"/>
    <w:rsid w:val="00D34BA7"/>
    <w:rsid w:val="00D35A2E"/>
    <w:rsid w:val="00D47F50"/>
    <w:rsid w:val="00D551CD"/>
    <w:rsid w:val="00D609DE"/>
    <w:rsid w:val="00D63904"/>
    <w:rsid w:val="00D8270B"/>
    <w:rsid w:val="00D837BE"/>
    <w:rsid w:val="00D91D22"/>
    <w:rsid w:val="00D91EFA"/>
    <w:rsid w:val="00D9219B"/>
    <w:rsid w:val="00D93F16"/>
    <w:rsid w:val="00DA5718"/>
    <w:rsid w:val="00DA700D"/>
    <w:rsid w:val="00DB0ED7"/>
    <w:rsid w:val="00DC0800"/>
    <w:rsid w:val="00DC113E"/>
    <w:rsid w:val="00DC2DAE"/>
    <w:rsid w:val="00DD0F42"/>
    <w:rsid w:val="00DF2154"/>
    <w:rsid w:val="00E013F1"/>
    <w:rsid w:val="00E06F3C"/>
    <w:rsid w:val="00E170BC"/>
    <w:rsid w:val="00E24E85"/>
    <w:rsid w:val="00E359EB"/>
    <w:rsid w:val="00E41FBD"/>
    <w:rsid w:val="00E51DA7"/>
    <w:rsid w:val="00E54294"/>
    <w:rsid w:val="00E65A26"/>
    <w:rsid w:val="00E6615D"/>
    <w:rsid w:val="00E66BEC"/>
    <w:rsid w:val="00E67FDB"/>
    <w:rsid w:val="00E94CD7"/>
    <w:rsid w:val="00E969B2"/>
    <w:rsid w:val="00EA5573"/>
    <w:rsid w:val="00EB14E0"/>
    <w:rsid w:val="00EB5385"/>
    <w:rsid w:val="00EC0B11"/>
    <w:rsid w:val="00EC2BE5"/>
    <w:rsid w:val="00ED0895"/>
    <w:rsid w:val="00ED72AB"/>
    <w:rsid w:val="00EE0788"/>
    <w:rsid w:val="00EE0F7E"/>
    <w:rsid w:val="00EE76C2"/>
    <w:rsid w:val="00F04567"/>
    <w:rsid w:val="00F126FB"/>
    <w:rsid w:val="00F13E45"/>
    <w:rsid w:val="00F20705"/>
    <w:rsid w:val="00F26BC2"/>
    <w:rsid w:val="00F30E59"/>
    <w:rsid w:val="00F35F14"/>
    <w:rsid w:val="00F36CFF"/>
    <w:rsid w:val="00F4347B"/>
    <w:rsid w:val="00F50C59"/>
    <w:rsid w:val="00F54E3A"/>
    <w:rsid w:val="00F611B6"/>
    <w:rsid w:val="00F63BEC"/>
    <w:rsid w:val="00F730E6"/>
    <w:rsid w:val="00F85F6B"/>
    <w:rsid w:val="00F93C4A"/>
    <w:rsid w:val="00FA2434"/>
    <w:rsid w:val="00FA3593"/>
    <w:rsid w:val="00FB3F37"/>
    <w:rsid w:val="00FC2E05"/>
    <w:rsid w:val="00FE0AA6"/>
    <w:rsid w:val="00FE1766"/>
    <w:rsid w:val="00FE2FBB"/>
    <w:rsid w:val="00FE7740"/>
    <w:rsid w:val="00FF6EC9"/>
    <w:rsid w:val="06F778FF"/>
    <w:rsid w:val="0ACE77F8"/>
    <w:rsid w:val="13AB6DD5"/>
    <w:rsid w:val="1ACD7E07"/>
    <w:rsid w:val="20972CBA"/>
    <w:rsid w:val="24E702D9"/>
    <w:rsid w:val="263F23CC"/>
    <w:rsid w:val="30DC0865"/>
    <w:rsid w:val="34725B9A"/>
    <w:rsid w:val="34D57E3D"/>
    <w:rsid w:val="417565D0"/>
    <w:rsid w:val="43104E14"/>
    <w:rsid w:val="435A3F8F"/>
    <w:rsid w:val="44145234"/>
    <w:rsid w:val="44E14EC0"/>
    <w:rsid w:val="56CB3A71"/>
    <w:rsid w:val="57A04D4E"/>
    <w:rsid w:val="651F73F4"/>
    <w:rsid w:val="681364CD"/>
    <w:rsid w:val="6AD050CC"/>
    <w:rsid w:val="6B52337F"/>
    <w:rsid w:val="71F21981"/>
    <w:rsid w:val="780472F2"/>
    <w:rsid w:val="7BA35F0A"/>
    <w:rsid w:val="7D3A31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semiHidden="0" w:name="annotation text"/>
    <w:lsdException w:uiPriority="99" w:semiHidden="0" w:name="header"/>
    <w:lsdException w:uiPriority="99" w:semiHidden="0" w:name="footer"/>
    <w:lsdException w:uiPriority="0" w:name="index heading"/>
    <w:lsdException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00" w:lineRule="exact"/>
    </w:pPr>
    <w:rPr>
      <w:rFonts w:ascii="Calibri" w:hAnsi="Calibri" w:eastAsia="宋体" w:cs="Times New Roman"/>
      <w:sz w:val="24"/>
      <w:szCs w:val="24"/>
      <w:lang w:val="en-US" w:eastAsia="zh-CN" w:bidi="ar-SA"/>
    </w:rPr>
  </w:style>
  <w:style w:type="paragraph" w:styleId="2">
    <w:name w:val="heading 1"/>
    <w:basedOn w:val="1"/>
    <w:next w:val="1"/>
    <w:link w:val="32"/>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33"/>
    <w:unhideWhenUsed/>
    <w:qFormat/>
    <w:uiPriority w:val="9"/>
    <w:pPr>
      <w:keepNext/>
      <w:spacing w:before="240" w:after="60"/>
      <w:outlineLvl w:val="1"/>
    </w:pPr>
    <w:rPr>
      <w:rFonts w:ascii="Cambria" w:hAnsi="Cambria"/>
      <w:b/>
      <w:bCs/>
      <w:i/>
      <w:iCs/>
      <w:sz w:val="28"/>
      <w:szCs w:val="28"/>
    </w:rPr>
  </w:style>
  <w:style w:type="paragraph" w:styleId="4">
    <w:name w:val="heading 3"/>
    <w:basedOn w:val="1"/>
    <w:next w:val="1"/>
    <w:link w:val="34"/>
    <w:unhideWhenUsed/>
    <w:qFormat/>
    <w:uiPriority w:val="9"/>
    <w:pPr>
      <w:spacing w:line="560" w:lineRule="exact"/>
      <w:ind w:firstLine="610" w:firstLineChars="217"/>
      <w:outlineLvl w:val="2"/>
    </w:pPr>
    <w:rPr>
      <w:rFonts w:ascii="仿宋_GB2312" w:hAnsi="Cambria" w:eastAsia="仿宋_GB2312"/>
      <w:b/>
      <w:bCs/>
      <w:sz w:val="28"/>
      <w:szCs w:val="28"/>
    </w:rPr>
  </w:style>
  <w:style w:type="paragraph" w:styleId="5">
    <w:name w:val="heading 4"/>
    <w:basedOn w:val="1"/>
    <w:next w:val="1"/>
    <w:link w:val="35"/>
    <w:unhideWhenUsed/>
    <w:qFormat/>
    <w:uiPriority w:val="9"/>
    <w:pPr>
      <w:spacing w:line="560" w:lineRule="exact"/>
      <w:ind w:firstLine="563" w:firstLineChars="201"/>
      <w:outlineLvl w:val="3"/>
    </w:pPr>
    <w:rPr>
      <w:rFonts w:ascii="仿宋_GB2312" w:eastAsia="仿宋_GB2312"/>
      <w:bCs/>
      <w:sz w:val="28"/>
      <w:szCs w:val="28"/>
    </w:rPr>
  </w:style>
  <w:style w:type="paragraph" w:styleId="6">
    <w:name w:val="heading 5"/>
    <w:basedOn w:val="1"/>
    <w:next w:val="1"/>
    <w:link w:val="36"/>
    <w:unhideWhenUsed/>
    <w:qFormat/>
    <w:uiPriority w:val="9"/>
    <w:pPr>
      <w:spacing w:before="240" w:after="60"/>
      <w:outlineLvl w:val="4"/>
    </w:pPr>
    <w:rPr>
      <w:rFonts w:ascii="Times New Roman" w:hAnsi="Times New Roman"/>
      <w:b/>
      <w:bCs/>
      <w:i/>
      <w:iCs/>
      <w:sz w:val="26"/>
      <w:szCs w:val="26"/>
    </w:rPr>
  </w:style>
  <w:style w:type="paragraph" w:styleId="7">
    <w:name w:val="heading 6"/>
    <w:basedOn w:val="1"/>
    <w:next w:val="1"/>
    <w:link w:val="37"/>
    <w:unhideWhenUsed/>
    <w:qFormat/>
    <w:uiPriority w:val="9"/>
    <w:pPr>
      <w:spacing w:before="240" w:after="60"/>
      <w:outlineLvl w:val="5"/>
    </w:pPr>
    <w:rPr>
      <w:rFonts w:ascii="Times New Roman" w:hAnsi="Times New Roman"/>
      <w:b/>
      <w:bCs/>
      <w:sz w:val="20"/>
      <w:szCs w:val="20"/>
    </w:rPr>
  </w:style>
  <w:style w:type="paragraph" w:styleId="8">
    <w:name w:val="heading 7"/>
    <w:basedOn w:val="1"/>
    <w:next w:val="1"/>
    <w:link w:val="38"/>
    <w:unhideWhenUsed/>
    <w:qFormat/>
    <w:uiPriority w:val="9"/>
    <w:pPr>
      <w:spacing w:before="240" w:after="60"/>
      <w:outlineLvl w:val="6"/>
    </w:pPr>
    <w:rPr>
      <w:rFonts w:ascii="Times New Roman" w:hAnsi="Times New Roman"/>
    </w:rPr>
  </w:style>
  <w:style w:type="paragraph" w:styleId="9">
    <w:name w:val="heading 8"/>
    <w:basedOn w:val="1"/>
    <w:next w:val="1"/>
    <w:link w:val="39"/>
    <w:unhideWhenUsed/>
    <w:qFormat/>
    <w:uiPriority w:val="9"/>
    <w:pPr>
      <w:spacing w:before="240" w:after="60"/>
      <w:outlineLvl w:val="7"/>
    </w:pPr>
    <w:rPr>
      <w:rFonts w:ascii="Times New Roman" w:hAnsi="Times New Roman"/>
      <w:i/>
      <w:iCs/>
    </w:rPr>
  </w:style>
  <w:style w:type="paragraph" w:styleId="10">
    <w:name w:val="heading 9"/>
    <w:basedOn w:val="1"/>
    <w:next w:val="1"/>
    <w:link w:val="40"/>
    <w:unhideWhenUsed/>
    <w:qFormat/>
    <w:uiPriority w:val="9"/>
    <w:pPr>
      <w:spacing w:before="240" w:after="60"/>
      <w:outlineLvl w:val="8"/>
    </w:pPr>
    <w:rPr>
      <w:rFonts w:ascii="Cambria" w:hAnsi="Cambria"/>
      <w:sz w:val="20"/>
      <w:szCs w:val="20"/>
    </w:rPr>
  </w:style>
  <w:style w:type="character" w:default="1" w:styleId="19">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3"/>
    <w:unhideWhenUsed/>
    <w:uiPriority w:val="99"/>
    <w:rPr>
      <w:b/>
      <w:bCs/>
    </w:rPr>
  </w:style>
  <w:style w:type="paragraph" w:styleId="12">
    <w:name w:val="annotation text"/>
    <w:basedOn w:val="1"/>
    <w:link w:val="52"/>
    <w:unhideWhenUsed/>
    <w:uiPriority w:val="99"/>
  </w:style>
  <w:style w:type="paragraph" w:styleId="13">
    <w:name w:val="Document Map"/>
    <w:basedOn w:val="1"/>
    <w:link w:val="55"/>
    <w:unhideWhenUsed/>
    <w:uiPriority w:val="0"/>
    <w:rPr>
      <w:rFonts w:ascii="宋体"/>
      <w:sz w:val="18"/>
      <w:szCs w:val="18"/>
    </w:rPr>
  </w:style>
  <w:style w:type="paragraph" w:styleId="14">
    <w:name w:val="Balloon Text"/>
    <w:basedOn w:val="1"/>
    <w:link w:val="54"/>
    <w:unhideWhenUsed/>
    <w:uiPriority w:val="99"/>
    <w:pPr>
      <w:spacing w:line="240" w:lineRule="auto"/>
    </w:pPr>
    <w:rPr>
      <w:sz w:val="18"/>
      <w:szCs w:val="18"/>
    </w:rPr>
  </w:style>
  <w:style w:type="paragraph" w:styleId="15">
    <w:name w:val="footer"/>
    <w:basedOn w:val="1"/>
    <w:link w:val="51"/>
    <w:unhideWhenUsed/>
    <w:uiPriority w:val="99"/>
    <w:pPr>
      <w:tabs>
        <w:tab w:val="center" w:pos="4153"/>
        <w:tab w:val="right" w:pos="8306"/>
      </w:tabs>
      <w:snapToGrid w:val="0"/>
    </w:pPr>
    <w:rPr>
      <w:sz w:val="18"/>
      <w:szCs w:val="18"/>
    </w:rPr>
  </w:style>
  <w:style w:type="paragraph" w:styleId="16">
    <w:name w:val="header"/>
    <w:basedOn w:val="1"/>
    <w:link w:val="50"/>
    <w:unhideWhenUsed/>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2"/>
    <w:qFormat/>
    <w:uiPriority w:val="11"/>
    <w:pPr>
      <w:spacing w:after="60"/>
      <w:jc w:val="center"/>
      <w:outlineLvl w:val="1"/>
    </w:pPr>
    <w:rPr>
      <w:rFonts w:ascii="Cambria" w:hAnsi="Cambria"/>
    </w:rPr>
  </w:style>
  <w:style w:type="paragraph" w:styleId="18">
    <w:name w:val="Title"/>
    <w:basedOn w:val="1"/>
    <w:next w:val="1"/>
    <w:link w:val="41"/>
    <w:qFormat/>
    <w:uiPriority w:val="10"/>
    <w:pPr>
      <w:spacing w:before="240" w:after="60"/>
      <w:jc w:val="center"/>
      <w:outlineLvl w:val="0"/>
    </w:pPr>
    <w:rPr>
      <w:rFonts w:ascii="Cambria" w:hAnsi="Cambria"/>
      <w:b/>
      <w:bCs/>
      <w:kern w:val="28"/>
      <w:sz w:val="32"/>
      <w:szCs w:val="32"/>
    </w:rPr>
  </w:style>
  <w:style w:type="character" w:styleId="20">
    <w:name w:val="Strong"/>
    <w:qFormat/>
    <w:uiPriority w:val="22"/>
    <w:rPr>
      <w:b/>
      <w:bCs/>
    </w:rPr>
  </w:style>
  <w:style w:type="character" w:styleId="21">
    <w:name w:val="page number"/>
    <w:basedOn w:val="19"/>
    <w:unhideWhenUsed/>
    <w:uiPriority w:val="0"/>
  </w:style>
  <w:style w:type="character" w:styleId="22">
    <w:name w:val="Emphasis"/>
    <w:qFormat/>
    <w:uiPriority w:val="20"/>
    <w:rPr>
      <w:rFonts w:ascii="Calibri" w:hAnsi="Calibri"/>
      <w:b/>
      <w:i/>
      <w:iCs/>
    </w:rPr>
  </w:style>
  <w:style w:type="character" w:styleId="23">
    <w:name w:val="annotation reference"/>
    <w:basedOn w:val="19"/>
    <w:unhideWhenUsed/>
    <w:qFormat/>
    <w:uiPriority w:val="99"/>
    <w:rPr>
      <w:sz w:val="21"/>
      <w:szCs w:val="21"/>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6">
    <w:name w:val="无间隔1"/>
    <w:basedOn w:val="1"/>
    <w:qFormat/>
    <w:uiPriority w:val="1"/>
    <w:rPr>
      <w:szCs w:val="32"/>
    </w:rPr>
  </w:style>
  <w:style w:type="paragraph" w:customStyle="1" w:styleId="27">
    <w:name w:val="列出段落1"/>
    <w:basedOn w:val="1"/>
    <w:qFormat/>
    <w:uiPriority w:val="34"/>
    <w:pPr>
      <w:ind w:left="720"/>
      <w:contextualSpacing/>
    </w:pPr>
  </w:style>
  <w:style w:type="paragraph" w:customStyle="1" w:styleId="28">
    <w:name w:val="引用1"/>
    <w:basedOn w:val="1"/>
    <w:next w:val="1"/>
    <w:link w:val="43"/>
    <w:qFormat/>
    <w:uiPriority w:val="29"/>
    <w:rPr>
      <w:rFonts w:ascii="Times New Roman" w:hAnsi="Times New Roman"/>
      <w:i/>
    </w:rPr>
  </w:style>
  <w:style w:type="paragraph" w:customStyle="1" w:styleId="29">
    <w:name w:val="明显引用1"/>
    <w:basedOn w:val="1"/>
    <w:next w:val="1"/>
    <w:link w:val="44"/>
    <w:qFormat/>
    <w:uiPriority w:val="30"/>
    <w:pPr>
      <w:ind w:left="720" w:right="720"/>
    </w:pPr>
    <w:rPr>
      <w:rFonts w:ascii="Times New Roman" w:hAnsi="Times New Roman"/>
      <w:b/>
      <w:i/>
      <w:szCs w:val="20"/>
    </w:rPr>
  </w:style>
  <w:style w:type="paragraph" w:customStyle="1" w:styleId="30">
    <w:name w:val="TOC 标题1"/>
    <w:basedOn w:val="2"/>
    <w:next w:val="1"/>
    <w:unhideWhenUsed/>
    <w:qFormat/>
    <w:uiPriority w:val="39"/>
    <w:pPr>
      <w:outlineLvl w:val="9"/>
    </w:pPr>
  </w:style>
  <w:style w:type="paragraph" w:customStyle="1" w:styleId="31">
    <w:name w:val="Pa4"/>
    <w:basedOn w:val="1"/>
    <w:next w:val="1"/>
    <w:qFormat/>
    <w:uiPriority w:val="99"/>
    <w:pPr>
      <w:widowControl w:val="0"/>
      <w:autoSpaceDE w:val="0"/>
      <w:autoSpaceDN w:val="0"/>
      <w:adjustRightInd w:val="0"/>
      <w:spacing w:line="301" w:lineRule="atLeast"/>
    </w:pPr>
    <w:rPr>
      <w:rFonts w:ascii="PROKST+FZFSJW--GB1-0" w:eastAsia="PROKST+FZFSJW--GB1-0"/>
    </w:rPr>
  </w:style>
  <w:style w:type="character" w:customStyle="1" w:styleId="32">
    <w:name w:val="标题 1 Char"/>
    <w:link w:val="2"/>
    <w:uiPriority w:val="9"/>
    <w:rPr>
      <w:rFonts w:ascii="Cambria" w:hAnsi="Cambria" w:eastAsia="宋体"/>
      <w:b/>
      <w:bCs/>
      <w:kern w:val="32"/>
      <w:sz w:val="32"/>
      <w:szCs w:val="32"/>
    </w:rPr>
  </w:style>
  <w:style w:type="character" w:customStyle="1" w:styleId="33">
    <w:name w:val="标题 2 Char"/>
    <w:link w:val="3"/>
    <w:semiHidden/>
    <w:qFormat/>
    <w:uiPriority w:val="9"/>
    <w:rPr>
      <w:rFonts w:ascii="Cambria" w:hAnsi="Cambria" w:eastAsia="宋体"/>
      <w:b/>
      <w:bCs/>
      <w:i/>
      <w:iCs/>
      <w:sz w:val="28"/>
      <w:szCs w:val="28"/>
    </w:rPr>
  </w:style>
  <w:style w:type="character" w:customStyle="1" w:styleId="34">
    <w:name w:val="标题 3 Char"/>
    <w:link w:val="4"/>
    <w:qFormat/>
    <w:uiPriority w:val="9"/>
    <w:rPr>
      <w:rFonts w:ascii="仿宋_GB2312" w:hAnsi="Cambria" w:eastAsia="仿宋_GB2312"/>
      <w:b/>
      <w:bCs/>
      <w:sz w:val="28"/>
      <w:szCs w:val="28"/>
    </w:rPr>
  </w:style>
  <w:style w:type="character" w:customStyle="1" w:styleId="35">
    <w:name w:val="标题 4 Char"/>
    <w:link w:val="5"/>
    <w:qFormat/>
    <w:uiPriority w:val="9"/>
    <w:rPr>
      <w:rFonts w:ascii="仿宋_GB2312" w:hAnsi="Calibri" w:eastAsia="仿宋_GB2312"/>
      <w:bCs/>
      <w:sz w:val="28"/>
      <w:szCs w:val="28"/>
    </w:rPr>
  </w:style>
  <w:style w:type="character" w:customStyle="1" w:styleId="36">
    <w:name w:val="标题 5 Char"/>
    <w:link w:val="6"/>
    <w:semiHidden/>
    <w:uiPriority w:val="9"/>
    <w:rPr>
      <w:b/>
      <w:bCs/>
      <w:i/>
      <w:iCs/>
      <w:sz w:val="26"/>
      <w:szCs w:val="26"/>
    </w:rPr>
  </w:style>
  <w:style w:type="character" w:customStyle="1" w:styleId="37">
    <w:name w:val="标题 6 Char"/>
    <w:link w:val="7"/>
    <w:semiHidden/>
    <w:uiPriority w:val="9"/>
    <w:rPr>
      <w:b/>
      <w:bCs/>
    </w:rPr>
  </w:style>
  <w:style w:type="character" w:customStyle="1" w:styleId="38">
    <w:name w:val="标题 7 Char"/>
    <w:link w:val="8"/>
    <w:semiHidden/>
    <w:uiPriority w:val="9"/>
    <w:rPr>
      <w:sz w:val="24"/>
      <w:szCs w:val="24"/>
    </w:rPr>
  </w:style>
  <w:style w:type="character" w:customStyle="1" w:styleId="39">
    <w:name w:val="标题 8 Char"/>
    <w:link w:val="9"/>
    <w:semiHidden/>
    <w:uiPriority w:val="9"/>
    <w:rPr>
      <w:i/>
      <w:iCs/>
      <w:sz w:val="24"/>
      <w:szCs w:val="24"/>
    </w:rPr>
  </w:style>
  <w:style w:type="character" w:customStyle="1" w:styleId="40">
    <w:name w:val="标题 9 Char"/>
    <w:link w:val="10"/>
    <w:semiHidden/>
    <w:uiPriority w:val="9"/>
    <w:rPr>
      <w:rFonts w:ascii="Cambria" w:hAnsi="Cambria" w:eastAsia="宋体"/>
    </w:rPr>
  </w:style>
  <w:style w:type="character" w:customStyle="1" w:styleId="41">
    <w:name w:val="标题 Char"/>
    <w:link w:val="18"/>
    <w:qFormat/>
    <w:uiPriority w:val="10"/>
    <w:rPr>
      <w:rFonts w:ascii="Cambria" w:hAnsi="Cambria" w:eastAsia="宋体"/>
      <w:b/>
      <w:bCs/>
      <w:kern w:val="28"/>
      <w:sz w:val="32"/>
      <w:szCs w:val="32"/>
    </w:rPr>
  </w:style>
  <w:style w:type="character" w:customStyle="1" w:styleId="42">
    <w:name w:val="副标题 Char"/>
    <w:link w:val="17"/>
    <w:uiPriority w:val="11"/>
    <w:rPr>
      <w:rFonts w:ascii="Cambria" w:hAnsi="Cambria" w:eastAsia="宋体"/>
      <w:sz w:val="24"/>
      <w:szCs w:val="24"/>
    </w:rPr>
  </w:style>
  <w:style w:type="character" w:customStyle="1" w:styleId="43">
    <w:name w:val="引用 Char"/>
    <w:link w:val="28"/>
    <w:qFormat/>
    <w:uiPriority w:val="29"/>
    <w:rPr>
      <w:i/>
      <w:sz w:val="24"/>
      <w:szCs w:val="24"/>
    </w:rPr>
  </w:style>
  <w:style w:type="character" w:customStyle="1" w:styleId="44">
    <w:name w:val="明显引用 Char"/>
    <w:link w:val="29"/>
    <w:qFormat/>
    <w:uiPriority w:val="30"/>
    <w:rPr>
      <w:b/>
      <w:i/>
      <w:sz w:val="24"/>
    </w:rPr>
  </w:style>
  <w:style w:type="character" w:customStyle="1" w:styleId="45">
    <w:name w:val="不明显强调1"/>
    <w:qFormat/>
    <w:uiPriority w:val="19"/>
    <w:rPr>
      <w:i/>
      <w:color w:val="5A5A5A"/>
    </w:rPr>
  </w:style>
  <w:style w:type="character" w:customStyle="1" w:styleId="46">
    <w:name w:val="明显强调1"/>
    <w:qFormat/>
    <w:uiPriority w:val="21"/>
    <w:rPr>
      <w:b/>
      <w:i/>
      <w:sz w:val="24"/>
      <w:szCs w:val="24"/>
      <w:u w:val="single"/>
    </w:rPr>
  </w:style>
  <w:style w:type="character" w:customStyle="1" w:styleId="47">
    <w:name w:val="不明显参考1"/>
    <w:qFormat/>
    <w:uiPriority w:val="31"/>
    <w:rPr>
      <w:sz w:val="24"/>
      <w:szCs w:val="24"/>
      <w:u w:val="single"/>
    </w:rPr>
  </w:style>
  <w:style w:type="character" w:customStyle="1" w:styleId="48">
    <w:name w:val="明显参考1"/>
    <w:qFormat/>
    <w:uiPriority w:val="32"/>
    <w:rPr>
      <w:b/>
      <w:sz w:val="24"/>
      <w:u w:val="single"/>
    </w:rPr>
  </w:style>
  <w:style w:type="character" w:customStyle="1" w:styleId="49">
    <w:name w:val="书籍标题1"/>
    <w:qFormat/>
    <w:uiPriority w:val="33"/>
    <w:rPr>
      <w:rFonts w:ascii="Cambria" w:hAnsi="Cambria" w:eastAsia="宋体"/>
      <w:b/>
      <w:i/>
      <w:sz w:val="24"/>
      <w:szCs w:val="24"/>
    </w:rPr>
  </w:style>
  <w:style w:type="character" w:customStyle="1" w:styleId="50">
    <w:name w:val="页眉 Char"/>
    <w:basedOn w:val="19"/>
    <w:link w:val="16"/>
    <w:uiPriority w:val="99"/>
    <w:rPr>
      <w:sz w:val="18"/>
      <w:szCs w:val="18"/>
    </w:rPr>
  </w:style>
  <w:style w:type="character" w:customStyle="1" w:styleId="51">
    <w:name w:val="页脚 Char"/>
    <w:basedOn w:val="19"/>
    <w:link w:val="15"/>
    <w:uiPriority w:val="99"/>
    <w:rPr>
      <w:sz w:val="18"/>
      <w:szCs w:val="18"/>
    </w:rPr>
  </w:style>
  <w:style w:type="character" w:customStyle="1" w:styleId="52">
    <w:name w:val="批注文字 Char"/>
    <w:basedOn w:val="19"/>
    <w:link w:val="12"/>
    <w:semiHidden/>
    <w:uiPriority w:val="99"/>
    <w:rPr>
      <w:sz w:val="24"/>
      <w:szCs w:val="24"/>
    </w:rPr>
  </w:style>
  <w:style w:type="character" w:customStyle="1" w:styleId="53">
    <w:name w:val="批注主题 Char"/>
    <w:basedOn w:val="52"/>
    <w:link w:val="11"/>
    <w:semiHidden/>
    <w:uiPriority w:val="99"/>
    <w:rPr>
      <w:b/>
      <w:bCs/>
      <w:sz w:val="24"/>
      <w:szCs w:val="24"/>
    </w:rPr>
  </w:style>
  <w:style w:type="character" w:customStyle="1" w:styleId="54">
    <w:name w:val="批注框文本 Char"/>
    <w:basedOn w:val="19"/>
    <w:link w:val="14"/>
    <w:semiHidden/>
    <w:uiPriority w:val="99"/>
    <w:rPr>
      <w:sz w:val="18"/>
      <w:szCs w:val="18"/>
    </w:rPr>
  </w:style>
  <w:style w:type="character" w:customStyle="1" w:styleId="55">
    <w:name w:val="文档结构图 Char"/>
    <w:basedOn w:val="19"/>
    <w:link w:val="13"/>
    <w:semiHidden/>
    <w:qFormat/>
    <w:uiPriority w:val="0"/>
    <w:rPr>
      <w:rFonts w:ascii="宋体" w:hAnsi="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874</Words>
  <Characters>4983</Characters>
  <Lines>41</Lines>
  <Paragraphs>11</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2015-03-23T11:25:00Z</dcterms:created>
  <dc:creator>sjg007</dc:creator>
  <cp:lastModifiedBy>sSq</cp:lastModifiedBy>
  <dcterms:modified xsi:type="dcterms:W3CDTF">2018-04-08T00:52:30Z</dcterms:modified>
  <dc:title>2015年全国职业院校技能大赛</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